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30DC9" w14:textId="6D64F696" w:rsidR="00BD3575" w:rsidRDefault="00DB6AAF">
      <w:pPr>
        <w:pStyle w:val="P68B1DB1-ListParagraph17"/>
        <w:spacing w:before="120" w:after="120"/>
        <w:ind w:left="284"/>
        <w:contextualSpacing w:val="0"/>
        <w:jc w:val="center"/>
        <w:rPr>
          <w:b/>
        </w:rPr>
      </w:pPr>
      <w:bookmarkStart w:id="0" w:name="_GoBack"/>
      <w:bookmarkEnd w:id="0"/>
      <w:r>
        <w:rPr>
          <w:b/>
        </w:rPr>
        <w:t>PETROPERÚ S.A. - INVESTMENT PROJECT SHEET</w:t>
      </w:r>
    </w:p>
    <w:p w14:paraId="4944BDFF" w14:textId="77777777" w:rsidR="00BD3575" w:rsidRDefault="00DB6AAF">
      <w:pPr>
        <w:pStyle w:val="P68B1DB1-ListParagraph11"/>
        <w:spacing w:before="120" w:after="120"/>
        <w:ind w:left="284"/>
        <w:contextualSpacing w:val="0"/>
        <w:jc w:val="center"/>
      </w:pPr>
      <w:r>
        <w:t>TALARA REFINERY MODERNIZATION</w:t>
      </w:r>
    </w:p>
    <w:p w14:paraId="6D39C1B7" w14:textId="77777777" w:rsidR="00BD3575" w:rsidRDefault="00DB6AAF">
      <w:pPr>
        <w:pStyle w:val="P68B1DB1-Normal1"/>
        <w:numPr>
          <w:ilvl w:val="0"/>
          <w:numId w:val="8"/>
        </w:numPr>
        <w:spacing w:before="120" w:after="120"/>
        <w:ind w:left="284" w:hanging="284"/>
      </w:pPr>
      <w:proofErr w:type="spellStart"/>
      <w:r>
        <w:t>Description</w:t>
      </w:r>
      <w:proofErr w:type="spellEnd"/>
    </w:p>
    <w:p w14:paraId="5BC980C4" w14:textId="77777777" w:rsidR="00BD3575" w:rsidRDefault="00DB6AAF">
      <w:pPr>
        <w:pStyle w:val="P68B1DB1-ListParagraph17"/>
        <w:spacing w:before="120" w:after="120"/>
        <w:ind w:left="284"/>
        <w:contextualSpacing w:val="0"/>
        <w:jc w:val="both"/>
      </w:pPr>
      <w:proofErr w:type="spellStart"/>
      <w:r>
        <w:t>The</w:t>
      </w:r>
      <w:proofErr w:type="spellEnd"/>
      <w:r>
        <w:t xml:space="preserve"> Talara </w:t>
      </w:r>
      <w:proofErr w:type="spellStart"/>
      <w:r>
        <w:t>Refinery</w:t>
      </w:r>
      <w:proofErr w:type="spellEnd"/>
      <w:r>
        <w:t xml:space="preserve"> </w:t>
      </w:r>
      <w:proofErr w:type="spellStart"/>
      <w:r>
        <w:t>Modernization</w:t>
      </w:r>
      <w:proofErr w:type="spellEnd"/>
      <w:r>
        <w:t xml:space="preserve"> Project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, </w:t>
      </w:r>
      <w:proofErr w:type="spellStart"/>
      <w:r>
        <w:t>supply</w:t>
      </w:r>
      <w:proofErr w:type="spellEnd"/>
      <w:r>
        <w:t xml:space="preserve"> and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megaproject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new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and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at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refinery's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capaci</w:t>
      </w:r>
      <w:r>
        <w:t>ty</w:t>
      </w:r>
      <w:proofErr w:type="spellEnd"/>
      <w:r>
        <w:t xml:space="preserve"> and new more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more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and socio-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are as </w:t>
      </w:r>
      <w:proofErr w:type="spellStart"/>
      <w:r>
        <w:t>follows</w:t>
      </w:r>
      <w:proofErr w:type="spellEnd"/>
      <w:r>
        <w:t>:</w:t>
      </w:r>
    </w:p>
    <w:p w14:paraId="5C5DBFA2" w14:textId="77777777" w:rsidR="00BD3575" w:rsidRDefault="00BD3575">
      <w:pPr>
        <w:pStyle w:val="Prrafodelista"/>
        <w:numPr>
          <w:ilvl w:val="1"/>
          <w:numId w:val="3"/>
        </w:numPr>
        <w:spacing w:before="120" w:after="120"/>
        <w:ind w:left="567" w:hanging="283"/>
        <w:contextualSpacing w:val="0"/>
        <w:jc w:val="both"/>
        <w:rPr>
          <w:rFonts w:ascii="Arial" w:hAnsi="Arial" w:cs="Arial"/>
          <w:sz w:val="22"/>
        </w:rPr>
        <w:sectPr w:rsidR="00BD3575" w:rsidSect="006376AB">
          <w:headerReference w:type="default" r:id="rId11"/>
          <w:footerReference w:type="default" r:id="rId12"/>
          <w:type w:val="continuous"/>
          <w:pgSz w:w="11907" w:h="16840" w:code="9"/>
          <w:pgMar w:top="1135" w:right="1247" w:bottom="709" w:left="1247" w:header="720" w:footer="0" w:gutter="0"/>
          <w:pgNumType w:start="3"/>
          <w:cols w:space="720"/>
        </w:sectPr>
      </w:pPr>
    </w:p>
    <w:p w14:paraId="138DA14A" w14:textId="77777777" w:rsidR="00BD3575" w:rsidRDefault="00DB6AAF">
      <w:pPr>
        <w:pStyle w:val="P68B1DB1-ListParagraph17"/>
        <w:numPr>
          <w:ilvl w:val="0"/>
          <w:numId w:val="18"/>
        </w:numPr>
        <w:spacing w:before="120" w:after="120"/>
        <w:ind w:left="567" w:hanging="283"/>
        <w:contextualSpacing w:val="0"/>
        <w:jc w:val="both"/>
      </w:pPr>
      <w:proofErr w:type="spellStart"/>
      <w:r>
        <w:t>Process</w:t>
      </w:r>
      <w:proofErr w:type="spellEnd"/>
      <w:r>
        <w:t xml:space="preserve"> </w:t>
      </w:r>
      <w:proofErr w:type="spellStart"/>
      <w:r>
        <w:t>heavier</w:t>
      </w:r>
      <w:proofErr w:type="spellEnd"/>
      <w:r>
        <w:t xml:space="preserve"> and </w:t>
      </w:r>
      <w:proofErr w:type="spellStart"/>
      <w:r>
        <w:t>cheaper</w:t>
      </w:r>
      <w:proofErr w:type="spellEnd"/>
      <w:r>
        <w:t xml:space="preserve"> 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oils</w:t>
      </w:r>
      <w:proofErr w:type="spellEnd"/>
      <w:r>
        <w:t>.</w:t>
      </w:r>
    </w:p>
    <w:p w14:paraId="3B715BE4" w14:textId="77777777" w:rsidR="00BD3575" w:rsidRDefault="00DB6AAF">
      <w:pPr>
        <w:pStyle w:val="P68B1DB1-ListParagraph17"/>
        <w:numPr>
          <w:ilvl w:val="0"/>
          <w:numId w:val="18"/>
        </w:numPr>
        <w:spacing w:before="120" w:after="120"/>
        <w:ind w:left="567" w:hanging="283"/>
        <w:contextualSpacing w:val="0"/>
        <w:jc w:val="both"/>
      </w:pP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octane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gasoline</w:t>
      </w:r>
      <w:proofErr w:type="spellEnd"/>
      <w:r>
        <w:t>.</w:t>
      </w:r>
    </w:p>
    <w:p w14:paraId="06DF02AA" w14:textId="77777777" w:rsidR="00BD3575" w:rsidRDefault="00DB6AAF">
      <w:pPr>
        <w:pStyle w:val="P68B1DB1-ListParagraph17"/>
        <w:numPr>
          <w:ilvl w:val="0"/>
          <w:numId w:val="18"/>
        </w:numPr>
        <w:spacing w:before="120" w:after="120"/>
        <w:ind w:left="567" w:hanging="283"/>
        <w:contextualSpacing w:val="0"/>
        <w:jc w:val="both"/>
      </w:pPr>
      <w:r>
        <w:t xml:space="preserve">Reduce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</w:t>
      </w:r>
      <w:r>
        <w:t>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residuals</w:t>
      </w:r>
      <w:proofErr w:type="spellEnd"/>
      <w:r>
        <w:t>.</w:t>
      </w:r>
    </w:p>
    <w:p w14:paraId="3475D627" w14:textId="77777777" w:rsidR="00BD3575" w:rsidRDefault="00DB6AAF">
      <w:pPr>
        <w:pStyle w:val="P68B1DB1-ListParagraph17"/>
        <w:numPr>
          <w:ilvl w:val="0"/>
          <w:numId w:val="18"/>
        </w:numPr>
        <w:spacing w:before="120" w:after="120"/>
        <w:ind w:left="567" w:hanging="283"/>
        <w:contextualSpacing w:val="0"/>
        <w:jc w:val="both"/>
      </w:pPr>
      <w:proofErr w:type="spellStart"/>
      <w:r>
        <w:t>Implement</w:t>
      </w:r>
      <w:proofErr w:type="spellEnd"/>
      <w:r>
        <w:t xml:space="preserve"> new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Modernized</w:t>
      </w:r>
      <w:proofErr w:type="spellEnd"/>
      <w:r>
        <w:t xml:space="preserve"> </w:t>
      </w:r>
      <w:proofErr w:type="spellStart"/>
      <w:r>
        <w:t>Refinery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require</w:t>
      </w:r>
      <w:proofErr w:type="spellEnd"/>
      <w:r>
        <w:t>.</w:t>
      </w:r>
    </w:p>
    <w:p w14:paraId="27A557F5" w14:textId="77777777" w:rsidR="00BD3575" w:rsidRDefault="00DB6AAF">
      <w:pPr>
        <w:pStyle w:val="P68B1DB1-ListParagraph17"/>
        <w:numPr>
          <w:ilvl w:val="0"/>
          <w:numId w:val="18"/>
        </w:numPr>
        <w:spacing w:before="120" w:after="120"/>
        <w:ind w:left="567" w:hanging="283"/>
        <w:contextualSpacing w:val="0"/>
        <w:jc w:val="both"/>
      </w:pPr>
      <w:r>
        <w:t xml:space="preserve">Produce </w:t>
      </w:r>
      <w:proofErr w:type="spellStart"/>
      <w:r>
        <w:t>cleaner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value</w:t>
      </w:r>
      <w:proofErr w:type="spellEnd"/>
      <w:r>
        <w:t>.</w:t>
      </w:r>
    </w:p>
    <w:p w14:paraId="0D2C17EA" w14:textId="77777777" w:rsidR="00BD3575" w:rsidRDefault="00BD3575">
      <w:pPr>
        <w:spacing w:before="120" w:after="120"/>
        <w:ind w:left="567" w:hanging="283"/>
        <w:rPr>
          <w:rFonts w:ascii="Arial" w:hAnsi="Arial" w:cs="Arial"/>
          <w:b/>
          <w:sz w:val="22"/>
        </w:rPr>
        <w:sectPr w:rsidR="00BD3575" w:rsidSect="003B4226">
          <w:type w:val="continuous"/>
          <w:pgSz w:w="11907" w:h="16840" w:code="9"/>
          <w:pgMar w:top="964" w:right="1247" w:bottom="680" w:left="1247" w:header="720" w:footer="720" w:gutter="0"/>
          <w:pgNumType w:start="3"/>
          <w:cols w:space="720"/>
        </w:sectPr>
      </w:pPr>
    </w:p>
    <w:p w14:paraId="6F9E318A" w14:textId="77777777" w:rsidR="00BD3575" w:rsidRDefault="00DB6AAF">
      <w:pPr>
        <w:pStyle w:val="P68B1DB1-Normal1"/>
        <w:numPr>
          <w:ilvl w:val="0"/>
          <w:numId w:val="8"/>
        </w:numPr>
        <w:spacing w:before="120" w:after="120"/>
        <w:ind w:left="284" w:hanging="284"/>
      </w:pPr>
      <w:proofErr w:type="spellStart"/>
      <w:r>
        <w:t>Components</w:t>
      </w:r>
      <w:proofErr w:type="spellEnd"/>
    </w:p>
    <w:p w14:paraId="22DF6A8E" w14:textId="77777777" w:rsidR="00BD3575" w:rsidRDefault="00BD3575">
      <w:pPr>
        <w:pStyle w:val="Textoindependiente"/>
        <w:numPr>
          <w:ilvl w:val="1"/>
          <w:numId w:val="3"/>
        </w:numPr>
        <w:tabs>
          <w:tab w:val="clear" w:pos="426"/>
          <w:tab w:val="clear" w:pos="4253"/>
          <w:tab w:val="left" w:pos="567"/>
        </w:tabs>
        <w:spacing w:before="120" w:after="120"/>
        <w:ind w:hanging="796"/>
        <w:rPr>
          <w:rFonts w:cs="Arial"/>
          <w:b w:val="0"/>
        </w:rPr>
        <w:sectPr w:rsidR="00BD3575" w:rsidSect="0054595C">
          <w:type w:val="continuous"/>
          <w:pgSz w:w="11907" w:h="16840" w:code="9"/>
          <w:pgMar w:top="964" w:right="1247" w:bottom="680" w:left="1247" w:header="720" w:footer="720" w:gutter="0"/>
          <w:pgNumType w:start="3"/>
          <w:cols w:space="720"/>
        </w:sectPr>
      </w:pPr>
    </w:p>
    <w:p w14:paraId="700780F5" w14:textId="77777777" w:rsidR="00BD3575" w:rsidRDefault="00DB6AAF">
      <w:pPr>
        <w:pStyle w:val="P68B1DB1-BodyText12"/>
        <w:numPr>
          <w:ilvl w:val="1"/>
          <w:numId w:val="3"/>
        </w:numPr>
        <w:tabs>
          <w:tab w:val="clear" w:pos="426"/>
          <w:tab w:val="clear" w:pos="4253"/>
          <w:tab w:val="left" w:pos="567"/>
        </w:tabs>
        <w:spacing w:before="120" w:after="120"/>
        <w:ind w:hanging="796"/>
      </w:pPr>
      <w:proofErr w:type="spellStart"/>
      <w:r>
        <w:t>Feasibility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</w:t>
      </w:r>
    </w:p>
    <w:p w14:paraId="6AEB19C2" w14:textId="77777777" w:rsidR="00BD3575" w:rsidRDefault="00DB6AAF">
      <w:pPr>
        <w:pStyle w:val="P68B1DB1-BodyText12"/>
        <w:numPr>
          <w:ilvl w:val="1"/>
          <w:numId w:val="3"/>
        </w:numPr>
        <w:tabs>
          <w:tab w:val="clear" w:pos="426"/>
          <w:tab w:val="clear" w:pos="4253"/>
          <w:tab w:val="left" w:pos="567"/>
        </w:tabs>
        <w:spacing w:before="120" w:after="120"/>
        <w:ind w:hanging="796"/>
      </w:pPr>
      <w:proofErr w:type="spellStart"/>
      <w:r>
        <w:t>Environmental</w:t>
      </w:r>
      <w:proofErr w:type="spellEnd"/>
      <w:r>
        <w:t xml:space="preserve"> Management.</w:t>
      </w:r>
    </w:p>
    <w:p w14:paraId="584810E6" w14:textId="77777777" w:rsidR="00BD3575" w:rsidRDefault="00DB6AAF">
      <w:pPr>
        <w:pStyle w:val="P68B1DB1-BodyText12"/>
        <w:numPr>
          <w:ilvl w:val="1"/>
          <w:numId w:val="3"/>
        </w:numPr>
        <w:tabs>
          <w:tab w:val="clear" w:pos="426"/>
          <w:tab w:val="clear" w:pos="4253"/>
          <w:tab w:val="left" w:pos="567"/>
        </w:tabs>
        <w:spacing w:before="120" w:after="120"/>
        <w:ind w:hanging="796"/>
      </w:pPr>
      <w:r>
        <w:t>Social Management.</w:t>
      </w:r>
    </w:p>
    <w:p w14:paraId="5FBD3745" w14:textId="77777777" w:rsidR="00BD3575" w:rsidRDefault="00DB6AAF">
      <w:pPr>
        <w:pStyle w:val="P68B1DB1-BodyText12"/>
        <w:numPr>
          <w:ilvl w:val="1"/>
          <w:numId w:val="3"/>
        </w:numPr>
        <w:tabs>
          <w:tab w:val="clear" w:pos="426"/>
          <w:tab w:val="clear" w:pos="4253"/>
          <w:tab w:val="left" w:pos="567"/>
        </w:tabs>
        <w:spacing w:before="120" w:after="120"/>
        <w:ind w:hanging="796"/>
      </w:pPr>
      <w:proofErr w:type="spellStart"/>
      <w:r>
        <w:t>Financial</w:t>
      </w:r>
      <w:proofErr w:type="spellEnd"/>
      <w:r>
        <w:t xml:space="preserve"> </w:t>
      </w:r>
      <w:proofErr w:type="spellStart"/>
      <w:r>
        <w:t>Consulting</w:t>
      </w:r>
      <w:proofErr w:type="spellEnd"/>
    </w:p>
    <w:p w14:paraId="78FE4B99" w14:textId="77777777" w:rsidR="00BD3575" w:rsidRDefault="00DB6AAF">
      <w:pPr>
        <w:pStyle w:val="P68B1DB1-BodyText12"/>
        <w:numPr>
          <w:ilvl w:val="1"/>
          <w:numId w:val="3"/>
        </w:numPr>
        <w:tabs>
          <w:tab w:val="clear" w:pos="426"/>
          <w:tab w:val="clear" w:pos="4253"/>
          <w:tab w:val="left" w:pos="567"/>
        </w:tabs>
        <w:spacing w:before="120" w:after="120"/>
        <w:ind w:hanging="796"/>
      </w:pPr>
      <w:proofErr w:type="spellStart"/>
      <w:r>
        <w:t>Interest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Financing</w:t>
      </w:r>
      <w:proofErr w:type="spellEnd"/>
      <w:r>
        <w:t>.</w:t>
      </w:r>
    </w:p>
    <w:p w14:paraId="4EA71E3F" w14:textId="77777777" w:rsidR="00BD3575" w:rsidRDefault="00DB6AAF">
      <w:pPr>
        <w:pStyle w:val="P68B1DB1-BodyText12"/>
        <w:numPr>
          <w:ilvl w:val="1"/>
          <w:numId w:val="3"/>
        </w:numPr>
        <w:tabs>
          <w:tab w:val="clear" w:pos="426"/>
          <w:tab w:val="clear" w:pos="4253"/>
          <w:tab w:val="left" w:pos="567"/>
        </w:tabs>
        <w:spacing w:before="120" w:after="120"/>
        <w:ind w:hanging="796"/>
      </w:pPr>
      <w:r>
        <w:t>FEED - EPC.</w:t>
      </w:r>
    </w:p>
    <w:p w14:paraId="7C4045DA" w14:textId="77777777" w:rsidR="00BD3575" w:rsidRDefault="00DB6AAF">
      <w:pPr>
        <w:pStyle w:val="P68B1DB1-BodyText12"/>
        <w:numPr>
          <w:ilvl w:val="1"/>
          <w:numId w:val="3"/>
        </w:numPr>
        <w:tabs>
          <w:tab w:val="clear" w:pos="426"/>
          <w:tab w:val="clear" w:pos="4253"/>
          <w:tab w:val="left" w:pos="567"/>
        </w:tabs>
        <w:spacing w:before="120" w:after="120"/>
        <w:ind w:hanging="796"/>
      </w:pPr>
      <w:r>
        <w:t>PMC - PMO.</w:t>
      </w:r>
    </w:p>
    <w:p w14:paraId="48C4BCC6" w14:textId="77777777" w:rsidR="00BD3575" w:rsidRDefault="00DB6AAF">
      <w:pPr>
        <w:pStyle w:val="P68B1DB1-BodyText12"/>
        <w:numPr>
          <w:ilvl w:val="1"/>
          <w:numId w:val="3"/>
        </w:numPr>
        <w:tabs>
          <w:tab w:val="clear" w:pos="426"/>
          <w:tab w:val="clear" w:pos="4253"/>
          <w:tab w:val="left" w:pos="567"/>
        </w:tabs>
        <w:spacing w:before="120" w:after="120"/>
        <w:ind w:hanging="796"/>
      </w:pPr>
      <w:r>
        <w:t xml:space="preserve">Social </w:t>
      </w:r>
      <w:proofErr w:type="spellStart"/>
      <w:r>
        <w:t>Projects</w:t>
      </w:r>
      <w:proofErr w:type="spellEnd"/>
    </w:p>
    <w:p w14:paraId="3E8AC615" w14:textId="77777777" w:rsidR="00BD3575" w:rsidRDefault="00DB6AAF">
      <w:pPr>
        <w:pStyle w:val="P68B1DB1-BodyText12"/>
        <w:numPr>
          <w:ilvl w:val="1"/>
          <w:numId w:val="3"/>
        </w:numPr>
        <w:tabs>
          <w:tab w:val="clear" w:pos="426"/>
          <w:tab w:val="clear" w:pos="4253"/>
          <w:tab w:val="left" w:pos="567"/>
        </w:tabs>
        <w:spacing w:before="120" w:after="120"/>
        <w:ind w:left="1078" w:hanging="794"/>
      </w:pPr>
      <w:proofErr w:type="spellStart"/>
      <w:r>
        <w:t>Complementary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>.</w:t>
      </w:r>
    </w:p>
    <w:p w14:paraId="6CDDD869" w14:textId="77777777" w:rsidR="00BD3575" w:rsidRDefault="00DB6AAF">
      <w:pPr>
        <w:pStyle w:val="P68B1DB1-BodyText12"/>
        <w:numPr>
          <w:ilvl w:val="1"/>
          <w:numId w:val="3"/>
        </w:numPr>
        <w:tabs>
          <w:tab w:val="clear" w:pos="426"/>
          <w:tab w:val="clear" w:pos="4253"/>
          <w:tab w:val="left" w:pos="567"/>
        </w:tabs>
        <w:spacing w:before="120" w:after="120"/>
        <w:ind w:hanging="796"/>
      </w:pPr>
      <w:proofErr w:type="spellStart"/>
      <w:r>
        <w:t>Administrative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surety</w:t>
      </w:r>
      <w:proofErr w:type="spellEnd"/>
      <w:r>
        <w:t xml:space="preserve"> </w:t>
      </w:r>
      <w:proofErr w:type="spellStart"/>
      <w:r>
        <w:t>letter</w:t>
      </w:r>
      <w:proofErr w:type="spellEnd"/>
      <w:r>
        <w:t>.</w:t>
      </w:r>
    </w:p>
    <w:p w14:paraId="15C42A9C" w14:textId="77777777" w:rsidR="00BD3575" w:rsidRDefault="00DB6AAF">
      <w:pPr>
        <w:pStyle w:val="P68B1DB1-BodyText12"/>
        <w:numPr>
          <w:ilvl w:val="1"/>
          <w:numId w:val="3"/>
        </w:numPr>
        <w:tabs>
          <w:tab w:val="clear" w:pos="426"/>
          <w:tab w:val="clear" w:pos="4253"/>
          <w:tab w:val="left" w:pos="567"/>
        </w:tabs>
        <w:spacing w:before="120" w:after="120"/>
        <w:ind w:hanging="796"/>
      </w:pPr>
      <w:proofErr w:type="spellStart"/>
      <w:r>
        <w:t>Fees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and </w:t>
      </w:r>
      <w:proofErr w:type="spellStart"/>
      <w:r>
        <w:t>equipment</w:t>
      </w:r>
      <w:proofErr w:type="spellEnd"/>
      <w:r>
        <w:t>.</w:t>
      </w:r>
    </w:p>
    <w:p w14:paraId="21A35CE5" w14:textId="77777777" w:rsidR="00BD3575" w:rsidRDefault="00DB6AAF">
      <w:pPr>
        <w:pStyle w:val="P68B1DB1-BodyText12"/>
        <w:numPr>
          <w:ilvl w:val="1"/>
          <w:numId w:val="3"/>
        </w:numPr>
        <w:tabs>
          <w:tab w:val="clear" w:pos="426"/>
          <w:tab w:val="clear" w:pos="4253"/>
          <w:tab w:val="left" w:pos="567"/>
        </w:tabs>
        <w:spacing w:before="120" w:after="120"/>
        <w:ind w:hanging="796"/>
      </w:pPr>
      <w:proofErr w:type="spellStart"/>
      <w:r>
        <w:t>Improves</w:t>
      </w:r>
      <w:proofErr w:type="spellEnd"/>
      <w:r>
        <w:t xml:space="preserve"> </w:t>
      </w:r>
      <w:proofErr w:type="spellStart"/>
      <w:r>
        <w:t>spent</w:t>
      </w:r>
      <w:proofErr w:type="spellEnd"/>
      <w:r>
        <w:t xml:space="preserve"> soda </w:t>
      </w:r>
      <w:proofErr w:type="spellStart"/>
      <w:r>
        <w:t>treatment</w:t>
      </w:r>
      <w:proofErr w:type="spellEnd"/>
      <w:r>
        <w:t>.</w:t>
      </w:r>
    </w:p>
    <w:p w14:paraId="132F75D7" w14:textId="77777777" w:rsidR="00BD3575" w:rsidRDefault="00DB6AAF">
      <w:pPr>
        <w:pStyle w:val="P68B1DB1-BodyText12"/>
        <w:numPr>
          <w:ilvl w:val="1"/>
          <w:numId w:val="3"/>
        </w:numPr>
        <w:tabs>
          <w:tab w:val="clear" w:pos="426"/>
          <w:tab w:val="clear" w:pos="4253"/>
          <w:tab w:val="left" w:pos="567"/>
        </w:tabs>
        <w:spacing w:before="120" w:after="120"/>
        <w:ind w:hanging="796"/>
      </w:pPr>
      <w:r>
        <w:t xml:space="preserve">Basic </w:t>
      </w:r>
      <w:proofErr w:type="spellStart"/>
      <w:r>
        <w:t>services</w:t>
      </w:r>
      <w:proofErr w:type="spellEnd"/>
      <w:r>
        <w:t>.</w:t>
      </w:r>
    </w:p>
    <w:p w14:paraId="1EC878DF" w14:textId="77777777" w:rsidR="00BD3575" w:rsidRDefault="00DB6AAF">
      <w:pPr>
        <w:pStyle w:val="P68B1DB1-BodyText12"/>
        <w:numPr>
          <w:ilvl w:val="1"/>
          <w:numId w:val="3"/>
        </w:numPr>
        <w:tabs>
          <w:tab w:val="clear" w:pos="426"/>
          <w:tab w:val="clear" w:pos="4253"/>
          <w:tab w:val="left" w:pos="567"/>
        </w:tabs>
        <w:spacing w:before="120" w:after="120"/>
        <w:ind w:hanging="796"/>
      </w:pPr>
      <w:proofErr w:type="spellStart"/>
      <w:r>
        <w:t>Sanitati</w:t>
      </w:r>
      <w:r>
        <w:t>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>.</w:t>
      </w:r>
    </w:p>
    <w:p w14:paraId="0BD1CC98" w14:textId="77777777" w:rsidR="00BD3575" w:rsidRDefault="00DB6AAF">
      <w:pPr>
        <w:pStyle w:val="P68B1DB1-BodyText12"/>
        <w:numPr>
          <w:ilvl w:val="1"/>
          <w:numId w:val="3"/>
        </w:numPr>
        <w:tabs>
          <w:tab w:val="clear" w:pos="426"/>
          <w:tab w:val="clear" w:pos="4253"/>
          <w:tab w:val="left" w:pos="567"/>
        </w:tabs>
        <w:spacing w:before="120" w:after="120"/>
        <w:ind w:hanging="796"/>
      </w:pPr>
      <w:proofErr w:type="spellStart"/>
      <w:r>
        <w:t>Acquisition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>.</w:t>
      </w:r>
    </w:p>
    <w:p w14:paraId="0AA2A4EF" w14:textId="77777777" w:rsidR="00BD3575" w:rsidRDefault="00DB6AAF">
      <w:pPr>
        <w:pStyle w:val="P68B1DB1-BodyText12"/>
        <w:numPr>
          <w:ilvl w:val="1"/>
          <w:numId w:val="3"/>
        </w:numPr>
        <w:tabs>
          <w:tab w:val="clear" w:pos="426"/>
          <w:tab w:val="clear" w:pos="4253"/>
          <w:tab w:val="left" w:pos="567"/>
        </w:tabs>
        <w:spacing w:before="120" w:after="120"/>
        <w:ind w:hanging="796"/>
      </w:pPr>
      <w:proofErr w:type="spellStart"/>
      <w:r>
        <w:t>Auxiliary</w:t>
      </w:r>
      <w:proofErr w:type="spellEnd"/>
      <w:r>
        <w:t xml:space="preserve"> </w:t>
      </w:r>
      <w:proofErr w:type="spellStart"/>
      <w:r>
        <w:t>units</w:t>
      </w:r>
      <w:proofErr w:type="spellEnd"/>
      <w:r>
        <w:t>.</w:t>
      </w:r>
    </w:p>
    <w:p w14:paraId="1C9E23C4" w14:textId="77777777" w:rsidR="00BD3575" w:rsidRDefault="00BD3575">
      <w:pPr>
        <w:numPr>
          <w:ilvl w:val="0"/>
          <w:numId w:val="8"/>
        </w:numPr>
        <w:spacing w:before="120" w:after="120"/>
        <w:ind w:left="284" w:hanging="284"/>
        <w:rPr>
          <w:rFonts w:ascii="Arial" w:hAnsi="Arial" w:cs="Arial"/>
          <w:b/>
          <w:sz w:val="22"/>
        </w:rPr>
        <w:sectPr w:rsidR="00BD3575" w:rsidSect="001020C8">
          <w:type w:val="continuous"/>
          <w:pgSz w:w="11907" w:h="16840" w:code="9"/>
          <w:pgMar w:top="964" w:right="1247" w:bottom="680" w:left="1247" w:header="720" w:footer="720" w:gutter="0"/>
          <w:pgNumType w:start="3"/>
          <w:cols w:num="2" w:space="720"/>
        </w:sectPr>
      </w:pPr>
    </w:p>
    <w:p w14:paraId="79CEDFDB" w14:textId="77777777" w:rsidR="00BD3575" w:rsidRDefault="00DB6AAF">
      <w:pPr>
        <w:pStyle w:val="P68B1DB1-Normal1"/>
        <w:numPr>
          <w:ilvl w:val="0"/>
          <w:numId w:val="8"/>
        </w:numPr>
        <w:spacing w:before="120" w:after="120"/>
        <w:ind w:left="284" w:hanging="284"/>
      </w:pPr>
      <w:proofErr w:type="spellStart"/>
      <w:r>
        <w:t>Funding</w:t>
      </w:r>
      <w:proofErr w:type="spellEnd"/>
      <w:r>
        <w:t xml:space="preserve"> </w:t>
      </w:r>
      <w:proofErr w:type="spellStart"/>
      <w:r>
        <w:t>sources</w:t>
      </w:r>
      <w:proofErr w:type="spellEnd"/>
      <w:r>
        <w:t>.</w:t>
      </w:r>
    </w:p>
    <w:p w14:paraId="106EC39B" w14:textId="77777777" w:rsidR="00BD3575" w:rsidRDefault="00DB6AAF">
      <w:pPr>
        <w:pStyle w:val="P68B1DB1-ListParagraph17"/>
        <w:spacing w:before="120" w:after="120"/>
        <w:ind w:left="284"/>
        <w:contextualSpacing w:val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financing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PMRT </w:t>
      </w:r>
      <w:proofErr w:type="spellStart"/>
      <w:r>
        <w:t>is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14:paraId="0452CC48" w14:textId="77777777" w:rsidR="00BD3575" w:rsidRDefault="00DB6AAF">
      <w:pPr>
        <w:pStyle w:val="P68B1DB1-ListParagraph17"/>
        <w:numPr>
          <w:ilvl w:val="0"/>
          <w:numId w:val="18"/>
        </w:numPr>
        <w:spacing w:before="120" w:after="120" w:line="36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PMRT </w:t>
      </w:r>
      <w:proofErr w:type="spellStart"/>
      <w:r>
        <w:t>is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 xml:space="preserve">: </w:t>
      </w:r>
    </w:p>
    <w:p w14:paraId="777397C1" w14:textId="77777777" w:rsidR="00BD3575" w:rsidRDefault="00DB6AAF">
      <w:pPr>
        <w:pStyle w:val="P68B1DB1-ListParagraph17"/>
        <w:numPr>
          <w:ilvl w:val="0"/>
          <w:numId w:val="18"/>
        </w:numPr>
        <w:spacing w:before="120" w:after="120" w:line="360" w:lineRule="auto"/>
        <w:jc w:val="both"/>
      </w:pPr>
      <w:r>
        <w:t xml:space="preserve">Capital </w:t>
      </w:r>
      <w:proofErr w:type="spellStart"/>
      <w:r>
        <w:t>Contribution</w:t>
      </w:r>
      <w:proofErr w:type="spellEnd"/>
      <w:r>
        <w:t xml:space="preserve">: USD 325 MM  </w:t>
      </w:r>
    </w:p>
    <w:p w14:paraId="2891D0C2" w14:textId="77777777" w:rsidR="00BD3575" w:rsidRDefault="00DB6AAF">
      <w:pPr>
        <w:pStyle w:val="P68B1DB1-ListParagraph17"/>
        <w:numPr>
          <w:ilvl w:val="0"/>
          <w:numId w:val="18"/>
        </w:numPr>
        <w:spacing w:before="120" w:after="120" w:line="360" w:lineRule="auto"/>
        <w:jc w:val="both"/>
      </w:pPr>
      <w:proofErr w:type="spellStart"/>
      <w:r>
        <w:t>Own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: USD 671 MM </w:t>
      </w:r>
    </w:p>
    <w:p w14:paraId="7D026FE0" w14:textId="77777777" w:rsidR="00BD3575" w:rsidRDefault="00DB6AAF">
      <w:pPr>
        <w:pStyle w:val="P68B1DB1-ListParagraph17"/>
        <w:numPr>
          <w:ilvl w:val="0"/>
          <w:numId w:val="18"/>
        </w:numPr>
        <w:spacing w:before="120" w:after="120" w:line="360" w:lineRule="auto"/>
        <w:jc w:val="both"/>
      </w:pPr>
      <w:r>
        <w:t xml:space="preserve">Bond </w:t>
      </w:r>
      <w:proofErr w:type="spellStart"/>
      <w:r>
        <w:t>Issue</w:t>
      </w:r>
      <w:proofErr w:type="spellEnd"/>
      <w:r>
        <w:t xml:space="preserve"> I (15 and 30 </w:t>
      </w:r>
      <w:proofErr w:type="spellStart"/>
      <w:r>
        <w:t>years</w:t>
      </w:r>
      <w:proofErr w:type="spellEnd"/>
      <w:r>
        <w:t>): USD 2,000 MM</w:t>
      </w:r>
    </w:p>
    <w:p w14:paraId="618AD690" w14:textId="77777777" w:rsidR="00BD3575" w:rsidRDefault="00DB6AAF">
      <w:pPr>
        <w:pStyle w:val="P68B1DB1-ListParagraph17"/>
        <w:numPr>
          <w:ilvl w:val="0"/>
          <w:numId w:val="18"/>
        </w:numPr>
        <w:spacing w:before="120" w:after="120" w:line="360" w:lineRule="auto"/>
        <w:jc w:val="both"/>
      </w:pPr>
      <w:proofErr w:type="spellStart"/>
      <w:r>
        <w:t>Financing</w:t>
      </w:r>
      <w:proofErr w:type="spellEnd"/>
      <w:r>
        <w:t xml:space="preserve"> </w:t>
      </w:r>
      <w:proofErr w:type="spellStart"/>
      <w:r>
        <w:t>guaranteed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Compañía de Seguros de Crédito a la</w:t>
      </w:r>
    </w:p>
    <w:p w14:paraId="26564BA0" w14:textId="77777777" w:rsidR="00BD3575" w:rsidRDefault="00DB6AAF">
      <w:pPr>
        <w:pStyle w:val="P68B1DB1-ListParagraph17"/>
        <w:numPr>
          <w:ilvl w:val="0"/>
          <w:numId w:val="18"/>
        </w:numPr>
        <w:spacing w:before="120" w:after="120" w:line="360" w:lineRule="auto"/>
        <w:jc w:val="both"/>
      </w:pPr>
      <w:r>
        <w:t>Exportación (CESCE): USD 1,300 MM</w:t>
      </w:r>
    </w:p>
    <w:p w14:paraId="579FEF86" w14:textId="77777777" w:rsidR="00BD3575" w:rsidRDefault="00DB6AAF">
      <w:pPr>
        <w:pStyle w:val="P68B1DB1-ListParagraph17"/>
        <w:numPr>
          <w:ilvl w:val="0"/>
          <w:numId w:val="18"/>
        </w:numPr>
        <w:spacing w:before="120" w:after="120" w:line="360" w:lineRule="auto"/>
        <w:jc w:val="both"/>
      </w:pPr>
      <w:r>
        <w:t xml:space="preserve">FIEM </w:t>
      </w:r>
      <w:proofErr w:type="spellStart"/>
      <w:r>
        <w:t>loans</w:t>
      </w:r>
      <w:proofErr w:type="spellEnd"/>
      <w:r>
        <w:t xml:space="preserve">: USD 285 MM (in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>)</w:t>
      </w:r>
    </w:p>
    <w:p w14:paraId="2DB4BC93" w14:textId="77777777" w:rsidR="00BD3575" w:rsidRDefault="00DB6AAF">
      <w:pPr>
        <w:pStyle w:val="P68B1DB1-ListParagraph17"/>
        <w:numPr>
          <w:ilvl w:val="0"/>
          <w:numId w:val="18"/>
        </w:numPr>
        <w:spacing w:before="120" w:after="120" w:line="360" w:lineRule="auto"/>
        <w:jc w:val="both"/>
      </w:pPr>
      <w:r>
        <w:t xml:space="preserve">Bond </w:t>
      </w:r>
      <w:proofErr w:type="spellStart"/>
      <w:r>
        <w:t>Issue</w:t>
      </w:r>
      <w:proofErr w:type="spellEnd"/>
      <w:r>
        <w:t xml:space="preserve"> II: USD 1,000 MM</w:t>
      </w:r>
    </w:p>
    <w:p w14:paraId="09B32587" w14:textId="77777777" w:rsidR="00BD3575" w:rsidRDefault="00BD3575">
      <w:pPr>
        <w:spacing w:before="120" w:after="120"/>
        <w:ind w:left="284" w:right="57"/>
        <w:rPr>
          <w:rFonts w:ascii="Arial" w:hAnsi="Arial" w:cs="Arial"/>
          <w:b/>
          <w:sz w:val="22"/>
          <w:highlight w:val="yellow"/>
        </w:rPr>
      </w:pPr>
    </w:p>
    <w:p w14:paraId="38B36284" w14:textId="77777777" w:rsidR="00BD3575" w:rsidRDefault="00DB6AAF">
      <w:pPr>
        <w:pStyle w:val="P68B1DB1-Normal2"/>
        <w:numPr>
          <w:ilvl w:val="0"/>
          <w:numId w:val="8"/>
        </w:numPr>
        <w:spacing w:before="120" w:after="120"/>
        <w:ind w:left="284" w:hanging="284"/>
        <w:rPr>
          <w:b/>
        </w:rPr>
      </w:pPr>
      <w:r>
        <w:rPr>
          <w:highlight w:val="yellow"/>
        </w:rPr>
        <w:br w:type="page"/>
      </w:r>
      <w:proofErr w:type="spellStart"/>
      <w:r>
        <w:rPr>
          <w:b/>
        </w:rPr>
        <w:lastRenderedPageBreak/>
        <w:t>Physical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financial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progress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second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quarter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2021</w:t>
      </w: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993"/>
        <w:gridCol w:w="992"/>
        <w:gridCol w:w="850"/>
        <w:gridCol w:w="1134"/>
        <w:gridCol w:w="851"/>
        <w:gridCol w:w="709"/>
        <w:gridCol w:w="708"/>
      </w:tblGrid>
      <w:tr w:rsidR="00BD3575" w14:paraId="16F18365" w14:textId="77777777">
        <w:trPr>
          <w:trHeight w:val="288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4D73DD0" w14:textId="77777777" w:rsidR="00BD3575" w:rsidRDefault="00DB6AAF">
            <w:pPr>
              <w:pStyle w:val="P68B1DB1-Normal19"/>
              <w:jc w:val="center"/>
            </w:pPr>
            <w:r>
              <w:t>DESCRIPTION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6B48ED" w14:textId="77777777" w:rsidR="00BD3575" w:rsidRDefault="00DB6AAF">
            <w:pPr>
              <w:pStyle w:val="P68B1DB1-Normal20"/>
              <w:jc w:val="center"/>
              <w:rPr>
                <w:color w:val="000000"/>
              </w:rPr>
            </w:pPr>
            <w:proofErr w:type="gramStart"/>
            <w:r>
              <w:t>Total</w:t>
            </w:r>
            <w:proofErr w:type="gramEnd"/>
            <w:r>
              <w:t xml:space="preserve"> Investment</w:t>
            </w:r>
            <w:r>
              <w:rPr>
                <w:vertAlign w:val="superscript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D98950" w14:textId="77777777" w:rsidR="00BD3575" w:rsidRDefault="00DB6AAF">
            <w:pPr>
              <w:pStyle w:val="P68B1DB1-Normal20"/>
              <w:jc w:val="center"/>
            </w:pP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Advancement</w:t>
            </w:r>
            <w:proofErr w:type="spellEnd"/>
            <w:r>
              <w:t xml:space="preserve"> (</w:t>
            </w:r>
            <w:proofErr w:type="spellStart"/>
            <w:r>
              <w:t>Thousands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Soles)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A75740A" w14:textId="77777777" w:rsidR="00BD3575" w:rsidRDefault="00DB6AAF">
            <w:pPr>
              <w:jc w:val="center"/>
              <w:rPr>
                <w:rFonts w:ascii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Physical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Progress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%</w:t>
            </w:r>
            <w:r>
              <w:rPr>
                <w:rStyle w:val="Refdenotaalpie"/>
                <w:rFonts w:ascii="Arial" w:hAnsi="Arial" w:cs="Arial"/>
                <w:b/>
                <w:sz w:val="14"/>
              </w:rPr>
              <w:t>2</w:t>
            </w:r>
          </w:p>
        </w:tc>
      </w:tr>
      <w:tr w:rsidR="00BD3575" w14:paraId="09FFD7C7" w14:textId="77777777">
        <w:trPr>
          <w:trHeight w:val="288"/>
        </w:trPr>
        <w:tc>
          <w:tcPr>
            <w:tcW w:w="282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4A7269" w14:textId="77777777" w:rsidR="00BD3575" w:rsidRDefault="00BD3575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14133E" w14:textId="77777777" w:rsidR="00BD3575" w:rsidRDefault="00BD3575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2F6FC" w14:textId="77777777" w:rsidR="00BD3575" w:rsidRDefault="00DB6AAF">
            <w:pPr>
              <w:pStyle w:val="P68B1DB1-Normal20"/>
              <w:jc w:val="center"/>
            </w:pPr>
            <w:proofErr w:type="spellStart"/>
            <w:r>
              <w:t>Execution</w:t>
            </w:r>
            <w:proofErr w:type="spellEnd"/>
            <w:r>
              <w:t xml:space="preserve"> Jan - </w:t>
            </w:r>
            <w:proofErr w:type="spellStart"/>
            <w:r>
              <w:t>Dec</w:t>
            </w:r>
            <w:proofErr w:type="spellEnd"/>
            <w:r>
              <w:t xml:space="preserve"> 21</w:t>
            </w:r>
          </w:p>
          <w:p w14:paraId="5439E3A2" w14:textId="77777777" w:rsidR="00BD3575" w:rsidRDefault="00DB6AAF">
            <w:pPr>
              <w:pStyle w:val="P68B1DB1-Normal20"/>
              <w:jc w:val="center"/>
            </w:pPr>
            <w:r>
              <w:t>(</w:t>
            </w:r>
            <w:proofErr w:type="spellStart"/>
            <w:r>
              <w:t>cut</w:t>
            </w:r>
            <w:proofErr w:type="spellEnd"/>
            <w:r>
              <w:t xml:space="preserve"> as </w:t>
            </w:r>
            <w:proofErr w:type="spellStart"/>
            <w:r>
              <w:t>of</w:t>
            </w:r>
            <w:proofErr w:type="spellEnd"/>
            <w:r>
              <w:t xml:space="preserve"> Jun-2021)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E9FA2" w14:textId="77777777" w:rsidR="00BD3575" w:rsidRDefault="00DB6AAF">
            <w:pPr>
              <w:pStyle w:val="P68B1DB1-Normal20"/>
              <w:jc w:val="center"/>
            </w:pPr>
            <w:r>
              <w:t>Pres.</w:t>
            </w:r>
          </w:p>
          <w:p w14:paraId="369EE544" w14:textId="77777777" w:rsidR="00BD3575" w:rsidRDefault="00DB6AAF">
            <w:pPr>
              <w:pStyle w:val="P68B1DB1-Normal20"/>
              <w:jc w:val="center"/>
              <w:rPr>
                <w:color w:val="000000"/>
              </w:rPr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CE2C43" w14:textId="77777777" w:rsidR="00BD3575" w:rsidRDefault="00DB6AAF">
            <w:pPr>
              <w:pStyle w:val="P68B1DB1-Normal20"/>
              <w:jc w:val="center"/>
            </w:pPr>
            <w:proofErr w:type="spellStart"/>
            <w:r>
              <w:t>Exec</w:t>
            </w:r>
            <w:proofErr w:type="spellEnd"/>
            <w:r>
              <w:t xml:space="preserve">. </w:t>
            </w:r>
            <w:proofErr w:type="spellStart"/>
            <w:r>
              <w:t>Accum</w:t>
            </w:r>
            <w:proofErr w:type="spellEnd"/>
            <w:r>
              <w:t>.</w:t>
            </w:r>
          </w:p>
          <w:p w14:paraId="6884AF8C" w14:textId="77777777" w:rsidR="00BD3575" w:rsidRDefault="00DB6AAF">
            <w:pPr>
              <w:pStyle w:val="P68B1DB1-Normal20"/>
              <w:jc w:val="center"/>
            </w:pPr>
            <w:r>
              <w:t xml:space="preserve">(as </w:t>
            </w:r>
            <w:proofErr w:type="spellStart"/>
            <w:r>
              <w:t>of</w:t>
            </w:r>
            <w:proofErr w:type="spellEnd"/>
            <w:r>
              <w:t xml:space="preserve"> Jun-2021)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4F8A51" w14:textId="77777777" w:rsidR="00BD3575" w:rsidRDefault="00DB6AAF">
            <w:pPr>
              <w:pStyle w:val="P68B1DB1-Normal20"/>
              <w:jc w:val="center"/>
              <w:rPr>
                <w:color w:val="000000"/>
              </w:rPr>
            </w:pPr>
            <w:proofErr w:type="spellStart"/>
            <w:r>
              <w:t>Exec</w:t>
            </w:r>
            <w:proofErr w:type="spellEnd"/>
            <w:r>
              <w:t>. June 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7A13F4" w14:textId="77777777" w:rsidR="00BD3575" w:rsidRDefault="00DB6AAF">
            <w:pPr>
              <w:pStyle w:val="P68B1DB1-Normal20"/>
              <w:jc w:val="center"/>
              <w:rPr>
                <w:color w:val="000000"/>
              </w:rPr>
            </w:pPr>
            <w:proofErr w:type="spellStart"/>
            <w:r>
              <w:t>Prog</w:t>
            </w:r>
            <w:proofErr w:type="spellEnd"/>
            <w:r>
              <w:t>. June - 2021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5C38E7" w14:textId="77777777" w:rsidR="00BD3575" w:rsidRDefault="00DB6AAF">
            <w:pPr>
              <w:pStyle w:val="P68B1DB1-Normal20"/>
              <w:jc w:val="center"/>
              <w:rPr>
                <w:color w:val="000000"/>
              </w:rPr>
            </w:pPr>
            <w:proofErr w:type="spellStart"/>
            <w:r>
              <w:t>Exec</w:t>
            </w:r>
            <w:proofErr w:type="spellEnd"/>
            <w:r>
              <w:t xml:space="preserve">. </w:t>
            </w:r>
            <w:proofErr w:type="spellStart"/>
            <w:r>
              <w:t>Accum</w:t>
            </w:r>
            <w:proofErr w:type="spellEnd"/>
            <w:r>
              <w:t xml:space="preserve">. </w:t>
            </w:r>
            <w:proofErr w:type="spellStart"/>
            <w:r>
              <w:t>to</w:t>
            </w:r>
            <w:proofErr w:type="spellEnd"/>
            <w:r>
              <w:t xml:space="preserve"> June 2021</w:t>
            </w:r>
          </w:p>
        </w:tc>
      </w:tr>
      <w:tr w:rsidR="00BD3575" w14:paraId="297CB041" w14:textId="77777777">
        <w:trPr>
          <w:trHeight w:val="288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05A950" w14:textId="77777777" w:rsidR="00BD3575" w:rsidRDefault="00DB6AAF">
            <w:pPr>
              <w:pStyle w:val="P68B1DB1-Normal21"/>
            </w:pPr>
            <w:r>
              <w:t xml:space="preserve">Project </w:t>
            </w:r>
            <w:proofErr w:type="spellStart"/>
            <w:r>
              <w:t>management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3D287E" w14:textId="77777777" w:rsidR="00BD3575" w:rsidRDefault="00DB6AAF">
            <w:pPr>
              <w:pStyle w:val="P68B1DB1-Normal21"/>
              <w:jc w:val="right"/>
            </w:pPr>
            <w:r>
              <w:t>378,305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6017" w14:textId="77777777" w:rsidR="00BD3575" w:rsidRDefault="00DB6AAF">
            <w:pPr>
              <w:pStyle w:val="P68B1DB1-Normal22"/>
              <w:jc w:val="right"/>
            </w:pPr>
            <w:r>
              <w:t>36,003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FEA4" w14:textId="77777777" w:rsidR="00BD3575" w:rsidRDefault="00DB6AAF">
            <w:pPr>
              <w:pStyle w:val="P68B1DB1-Normal21"/>
              <w:jc w:val="right"/>
            </w:pPr>
            <w:r>
              <w:t>86,939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E9A78" w14:textId="77777777" w:rsidR="00BD3575" w:rsidRDefault="00DB6AAF">
            <w:pPr>
              <w:pStyle w:val="P68B1DB1-Normal22"/>
              <w:jc w:val="right"/>
            </w:pPr>
            <w:r>
              <w:t>319,487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AC9B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AD4B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F012A" w14:textId="77777777" w:rsidR="00BD3575" w:rsidRDefault="00DB6AAF">
            <w:pPr>
              <w:pStyle w:val="P68B1DB1-Normal21"/>
              <w:jc w:val="center"/>
            </w:pPr>
            <w:r>
              <w:t>-</w:t>
            </w:r>
          </w:p>
        </w:tc>
      </w:tr>
      <w:tr w:rsidR="00BD3575" w14:paraId="793C9D88" w14:textId="77777777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27B2A" w14:textId="77777777" w:rsidR="00BD3575" w:rsidRDefault="00DB6AAF">
            <w:pPr>
              <w:pStyle w:val="P68B1DB1-Normal21"/>
            </w:pPr>
            <w:proofErr w:type="spellStart"/>
            <w:r>
              <w:t>Financial</w:t>
            </w:r>
            <w:proofErr w:type="spellEnd"/>
            <w:r>
              <w:t xml:space="preserve"> </w:t>
            </w:r>
            <w:proofErr w:type="spellStart"/>
            <w:r>
              <w:t>Consulting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BD406" w14:textId="77777777" w:rsidR="00BD3575" w:rsidRDefault="00DB6AAF">
            <w:pPr>
              <w:pStyle w:val="P68B1DB1-Normal21"/>
              <w:jc w:val="right"/>
            </w:pPr>
            <w:r>
              <w:t>35,661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B4E2" w14:textId="77777777" w:rsidR="00BD3575" w:rsidRDefault="00DB6AAF">
            <w:pPr>
              <w:pStyle w:val="P68B1DB1-Normal22"/>
              <w:jc w:val="right"/>
            </w:pPr>
            <w:r>
              <w:t>4,480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1F9D" w14:textId="77777777" w:rsidR="00BD3575" w:rsidRDefault="00DB6AAF">
            <w:pPr>
              <w:pStyle w:val="P68B1DB1-Normal21"/>
              <w:jc w:val="right"/>
            </w:pPr>
            <w:r>
              <w:t>11,627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A97E3" w14:textId="77777777" w:rsidR="00BD3575" w:rsidRDefault="00DB6AAF">
            <w:pPr>
              <w:pStyle w:val="P68B1DB1-Normal22"/>
              <w:jc w:val="right"/>
            </w:pPr>
            <w:r>
              <w:t>16,658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AEBD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693E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74E88" w14:textId="77777777" w:rsidR="00BD3575" w:rsidRDefault="00DB6AAF">
            <w:pPr>
              <w:pStyle w:val="P68B1DB1-Normal21"/>
              <w:jc w:val="center"/>
            </w:pPr>
            <w:r>
              <w:t>-</w:t>
            </w:r>
          </w:p>
        </w:tc>
      </w:tr>
      <w:tr w:rsidR="00BD3575" w14:paraId="2A9E8611" w14:textId="77777777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45A5A" w14:textId="77777777" w:rsidR="00BD3575" w:rsidRDefault="00DB6AAF">
            <w:pPr>
              <w:pStyle w:val="P68B1DB1-Normal21"/>
            </w:pPr>
            <w:r>
              <w:t xml:space="preserve">FEED </w:t>
            </w:r>
            <w:proofErr w:type="spellStart"/>
            <w:r>
              <w:t>services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AF08E" w14:textId="77777777" w:rsidR="00BD3575" w:rsidRDefault="00DB6AAF">
            <w:pPr>
              <w:pStyle w:val="P68B1DB1-Normal21"/>
              <w:jc w:val="right"/>
            </w:pPr>
            <w:r>
              <w:t>46,679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6AD3" w14:textId="77777777" w:rsidR="00BD3575" w:rsidRDefault="00DB6AAF">
            <w:pPr>
              <w:pStyle w:val="P68B1DB1-Normal22"/>
              <w:jc w:val="right"/>
            </w:pPr>
            <w:r>
              <w:t>176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0894" w14:textId="77777777" w:rsidR="00BD3575" w:rsidRDefault="00DB6AAF">
            <w:pPr>
              <w:pStyle w:val="P68B1DB1-Normal21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BED22" w14:textId="77777777" w:rsidR="00BD3575" w:rsidRDefault="00DB6AAF">
            <w:pPr>
              <w:pStyle w:val="P68B1DB1-Normal22"/>
              <w:jc w:val="right"/>
            </w:pPr>
            <w:r>
              <w:t>40,803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0340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762E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4AAF1" w14:textId="77777777" w:rsidR="00BD3575" w:rsidRDefault="00DB6AAF">
            <w:pPr>
              <w:pStyle w:val="P68B1DB1-Normal21"/>
              <w:jc w:val="center"/>
            </w:pPr>
            <w:r>
              <w:t>-</w:t>
            </w:r>
          </w:p>
        </w:tc>
      </w:tr>
      <w:tr w:rsidR="00BD3575" w14:paraId="0EDEF8B9" w14:textId="77777777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9FB97" w14:textId="77777777" w:rsidR="00BD3575" w:rsidRDefault="00DB6AAF">
            <w:pPr>
              <w:pStyle w:val="P68B1DB1-Normal21"/>
            </w:pPr>
            <w:r>
              <w:t xml:space="preserve">PMC </w:t>
            </w:r>
            <w:proofErr w:type="spellStart"/>
            <w:r>
              <w:t>Services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59949" w14:textId="77777777" w:rsidR="00BD3575" w:rsidRDefault="00DB6AAF">
            <w:pPr>
              <w:pStyle w:val="P68B1DB1-Normal21"/>
              <w:jc w:val="right"/>
            </w:pPr>
            <w:r>
              <w:t>1'181,921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5FA8" w14:textId="77777777" w:rsidR="00BD3575" w:rsidRDefault="00DB6AAF">
            <w:pPr>
              <w:pStyle w:val="P68B1DB1-Normal22"/>
              <w:jc w:val="right"/>
            </w:pPr>
            <w:r>
              <w:t>52,487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9D93" w14:textId="77777777" w:rsidR="00BD3575" w:rsidRDefault="00DB6AAF">
            <w:pPr>
              <w:pStyle w:val="P68B1DB1-Normal21"/>
              <w:jc w:val="right"/>
            </w:pPr>
            <w:r>
              <w:t>108,330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FFAD" w14:textId="77777777" w:rsidR="00BD3575" w:rsidRDefault="00DB6AAF">
            <w:pPr>
              <w:pStyle w:val="P68B1DB1-Normal22"/>
              <w:jc w:val="right"/>
            </w:pPr>
            <w:r>
              <w:t>1'009,416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3935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8A49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D8E2" w14:textId="77777777" w:rsidR="00BD3575" w:rsidRDefault="00DB6AAF">
            <w:pPr>
              <w:pStyle w:val="P68B1DB1-Normal21"/>
              <w:jc w:val="center"/>
            </w:pPr>
            <w:r>
              <w:t>-</w:t>
            </w:r>
          </w:p>
        </w:tc>
      </w:tr>
      <w:tr w:rsidR="00BD3575" w14:paraId="66E32B1F" w14:textId="77777777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8818A" w14:textId="77777777" w:rsidR="00BD3575" w:rsidRDefault="00DB6AAF">
            <w:pPr>
              <w:pStyle w:val="P68B1DB1-Normal21"/>
            </w:pPr>
            <w:r>
              <w:t xml:space="preserve">Technologies and </w:t>
            </w:r>
            <w:proofErr w:type="spellStart"/>
            <w:r>
              <w:t>Licenses</w:t>
            </w:r>
            <w:proofErr w:type="spellEnd"/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E44AD" w14:textId="77777777" w:rsidR="00BD3575" w:rsidRDefault="00DB6AAF">
            <w:pPr>
              <w:pStyle w:val="P68B1DB1-Normal21"/>
              <w:jc w:val="right"/>
            </w:pPr>
            <w:r>
              <w:t>90,030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8DDE" w14:textId="77777777" w:rsidR="00BD3575" w:rsidRDefault="00DB6AAF">
            <w:pPr>
              <w:pStyle w:val="P68B1DB1-Normal22"/>
              <w:jc w:val="right"/>
            </w:pPr>
            <w:r>
              <w:t>3,357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6281" w14:textId="77777777" w:rsidR="00BD3575" w:rsidRDefault="00DB6AAF">
            <w:pPr>
              <w:pStyle w:val="P68B1DB1-Normal21"/>
              <w:jc w:val="right"/>
            </w:pPr>
            <w:r>
              <w:t>30,395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7B512" w14:textId="77777777" w:rsidR="00BD3575" w:rsidRDefault="00DB6AAF">
            <w:pPr>
              <w:pStyle w:val="P68B1DB1-Normal22"/>
              <w:jc w:val="right"/>
            </w:pPr>
            <w:r>
              <w:t>36,609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54F3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A6D9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2B1FE" w14:textId="77777777" w:rsidR="00BD3575" w:rsidRDefault="00DB6AAF">
            <w:pPr>
              <w:pStyle w:val="P68B1DB1-Normal21"/>
              <w:jc w:val="center"/>
            </w:pPr>
            <w:r>
              <w:t>-</w:t>
            </w:r>
          </w:p>
        </w:tc>
      </w:tr>
      <w:tr w:rsidR="00BD3575" w14:paraId="1368A9C6" w14:textId="77777777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A39E6" w14:textId="77777777" w:rsidR="00BD3575" w:rsidRDefault="00DB6AAF">
            <w:pPr>
              <w:pStyle w:val="P68B1DB1-Normal21"/>
            </w:pPr>
            <w:r>
              <w:t xml:space="preserve">PMRT Social </w:t>
            </w:r>
            <w:proofErr w:type="spellStart"/>
            <w:r>
              <w:t>Projects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C0D24" w14:textId="77777777" w:rsidR="00BD3575" w:rsidRDefault="00DB6AAF">
            <w:pPr>
              <w:pStyle w:val="P68B1DB1-Normal21"/>
              <w:jc w:val="right"/>
            </w:pPr>
            <w:r>
              <w:t>70,241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D6BA" w14:textId="77777777" w:rsidR="00BD3575" w:rsidRDefault="00DB6AAF">
            <w:pPr>
              <w:pStyle w:val="P68B1DB1-Normal22"/>
              <w:jc w:val="right"/>
            </w:pPr>
            <w:r>
              <w:t>1,785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5D56" w14:textId="77777777" w:rsidR="00BD3575" w:rsidRDefault="00DB6AAF">
            <w:pPr>
              <w:pStyle w:val="P68B1DB1-Normal21"/>
              <w:jc w:val="right"/>
            </w:pPr>
            <w:r>
              <w:t>10,730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B75D3" w14:textId="77777777" w:rsidR="00BD3575" w:rsidRDefault="00DB6AAF">
            <w:pPr>
              <w:pStyle w:val="P68B1DB1-Normal22"/>
              <w:jc w:val="right"/>
            </w:pPr>
            <w:r>
              <w:t>43,288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E15E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9217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64602" w14:textId="77777777" w:rsidR="00BD3575" w:rsidRDefault="00DB6AAF">
            <w:pPr>
              <w:pStyle w:val="P68B1DB1-Normal21"/>
              <w:jc w:val="center"/>
            </w:pPr>
            <w:r>
              <w:t>-</w:t>
            </w:r>
          </w:p>
        </w:tc>
      </w:tr>
      <w:tr w:rsidR="00BD3575" w14:paraId="7C5B0204" w14:textId="77777777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5CBC0" w14:textId="77777777" w:rsidR="00BD3575" w:rsidRDefault="00DB6AAF">
            <w:pPr>
              <w:pStyle w:val="P68B1DB1-Normal21"/>
            </w:pPr>
            <w:proofErr w:type="spellStart"/>
            <w:r>
              <w:t>Acquisition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real estate in Talara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64EC7" w14:textId="77777777" w:rsidR="00BD3575" w:rsidRDefault="00DB6AAF">
            <w:pPr>
              <w:pStyle w:val="P68B1DB1-Normal21"/>
              <w:jc w:val="right"/>
            </w:pPr>
            <w:r>
              <w:t>30,491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13D0" w14:textId="77777777" w:rsidR="00BD3575" w:rsidRDefault="00DB6AAF">
            <w:pPr>
              <w:pStyle w:val="P68B1DB1-Normal22"/>
              <w:jc w:val="right"/>
            </w:pPr>
            <w:r>
              <w:t>3,259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0580" w14:textId="77777777" w:rsidR="00BD3575" w:rsidRDefault="00DB6AAF">
            <w:pPr>
              <w:pStyle w:val="P68B1DB1-Normal21"/>
              <w:jc w:val="right"/>
            </w:pPr>
            <w:r>
              <w:t>3,746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1F1C3" w14:textId="77777777" w:rsidR="00BD3575" w:rsidRDefault="00DB6AAF">
            <w:pPr>
              <w:pStyle w:val="P68B1DB1-Normal22"/>
              <w:jc w:val="right"/>
            </w:pPr>
            <w:r>
              <w:t>27,632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C61E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458A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59468" w14:textId="77777777" w:rsidR="00BD3575" w:rsidRDefault="00DB6AAF">
            <w:pPr>
              <w:pStyle w:val="P68B1DB1-Normal21"/>
              <w:jc w:val="center"/>
            </w:pPr>
            <w:r>
              <w:t>-</w:t>
            </w:r>
          </w:p>
        </w:tc>
      </w:tr>
      <w:tr w:rsidR="00BD3575" w14:paraId="2FA005F6" w14:textId="77777777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9420C" w14:textId="77777777" w:rsidR="00BD3575" w:rsidRDefault="00DB6AAF">
            <w:pPr>
              <w:pStyle w:val="P68B1DB1-Normal21"/>
            </w:pPr>
            <w:proofErr w:type="spellStart"/>
            <w:r>
              <w:t>Interest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Financing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7A418" w14:textId="77777777" w:rsidR="00BD3575" w:rsidRDefault="00DB6AAF">
            <w:pPr>
              <w:pStyle w:val="P68B1DB1-Normal21"/>
              <w:jc w:val="right"/>
            </w:pPr>
            <w:r>
              <w:t>2'449,701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0F79" w14:textId="77777777" w:rsidR="00BD3575" w:rsidRDefault="00DB6AAF">
            <w:pPr>
              <w:pStyle w:val="P68B1DB1-Normal22"/>
              <w:jc w:val="right"/>
            </w:pPr>
            <w:r>
              <w:t>365,043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7E3B" w14:textId="77777777" w:rsidR="00BD3575" w:rsidRDefault="00DB6AAF">
            <w:pPr>
              <w:pStyle w:val="P68B1DB1-Normal21"/>
              <w:jc w:val="right"/>
            </w:pPr>
            <w:r>
              <w:t>672,750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7F37" w14:textId="77777777" w:rsidR="00BD3575" w:rsidRDefault="00DB6AAF">
            <w:pPr>
              <w:pStyle w:val="P68B1DB1-Normal22"/>
              <w:jc w:val="right"/>
            </w:pPr>
            <w:r>
              <w:t>2'150,607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3C65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B93F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D7576" w14:textId="77777777" w:rsidR="00BD3575" w:rsidRDefault="00DB6AAF">
            <w:pPr>
              <w:pStyle w:val="P68B1DB1-Normal21"/>
              <w:jc w:val="center"/>
            </w:pPr>
            <w:r>
              <w:t>-</w:t>
            </w:r>
          </w:p>
        </w:tc>
      </w:tr>
      <w:tr w:rsidR="00BD3575" w14:paraId="739F9A48" w14:textId="77777777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17CE5" w14:textId="77777777" w:rsidR="00BD3575" w:rsidRDefault="00DB6AAF">
            <w:pPr>
              <w:pStyle w:val="P68B1DB1-Normal21"/>
            </w:pPr>
            <w:r>
              <w:t xml:space="preserve">EPC </w:t>
            </w:r>
            <w:proofErr w:type="spellStart"/>
            <w:r>
              <w:t>Phase</w:t>
            </w:r>
            <w:proofErr w:type="spellEnd"/>
            <w:r>
              <w:t xml:space="preserve"> - PMRT - USD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11E75" w14:textId="77777777" w:rsidR="00BD3575" w:rsidRDefault="00DB6AAF">
            <w:pPr>
              <w:pStyle w:val="P68B1DB1-Normal21"/>
              <w:jc w:val="right"/>
            </w:pPr>
            <w:r>
              <w:t>5'774,808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2A00" w14:textId="77777777" w:rsidR="00BD3575" w:rsidRDefault="00DB6AAF">
            <w:pPr>
              <w:pStyle w:val="P68B1DB1-Normal22"/>
              <w:jc w:val="right"/>
            </w:pPr>
            <w:r>
              <w:t>9,509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FE05" w14:textId="77777777" w:rsidR="00BD3575" w:rsidRDefault="00DB6AAF">
            <w:pPr>
              <w:pStyle w:val="P68B1DB1-Normal21"/>
              <w:jc w:val="right"/>
            </w:pPr>
            <w:r>
              <w:t>96,255.00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2CC3F" w14:textId="77777777" w:rsidR="00BD3575" w:rsidRDefault="00DB6AAF">
            <w:pPr>
              <w:pStyle w:val="P68B1DB1-Normal22"/>
              <w:jc w:val="right"/>
            </w:pPr>
            <w:r>
              <w:t>5'443,958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8334" w14:textId="77777777" w:rsidR="00BD3575" w:rsidRDefault="00DB6AAF">
            <w:pPr>
              <w:pStyle w:val="P68B1DB1-Normal21"/>
              <w:jc w:val="center"/>
            </w:pPr>
            <w:r>
              <w:t>1.59%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0E19" w14:textId="77777777" w:rsidR="00BD3575" w:rsidRDefault="00DB6AAF">
            <w:pPr>
              <w:pStyle w:val="P68B1DB1-Normal21"/>
              <w:jc w:val="center"/>
            </w:pPr>
            <w:r>
              <w:t>2.69%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9B55D" w14:textId="77777777" w:rsidR="00BD3575" w:rsidRDefault="00DB6AAF">
            <w:pPr>
              <w:pStyle w:val="P68B1DB1-Normal19"/>
              <w:jc w:val="center"/>
            </w:pPr>
            <w:r>
              <w:t>97.43%</w:t>
            </w:r>
          </w:p>
        </w:tc>
      </w:tr>
      <w:tr w:rsidR="00BD3575" w14:paraId="0C8226E7" w14:textId="77777777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EB2C4" w14:textId="77777777" w:rsidR="00BD3575" w:rsidRDefault="00DB6AAF">
            <w:pPr>
              <w:pStyle w:val="P68B1DB1-Normal21"/>
            </w:pPr>
            <w:r>
              <w:t xml:space="preserve">EPC </w:t>
            </w:r>
            <w:proofErr w:type="spellStart"/>
            <w:r>
              <w:t>phase</w:t>
            </w:r>
            <w:proofErr w:type="spellEnd"/>
            <w:r>
              <w:t xml:space="preserve"> - PMRT - EUR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CF7B8" w14:textId="77777777" w:rsidR="00BD3575" w:rsidRDefault="00DB6AAF">
            <w:pPr>
              <w:pStyle w:val="P68B1DB1-Normal21"/>
              <w:jc w:val="right"/>
            </w:pPr>
            <w:r>
              <w:t>2,746,269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4AFA" w14:textId="77777777" w:rsidR="00BD3575" w:rsidRDefault="00DB6AAF">
            <w:pPr>
              <w:pStyle w:val="P68B1DB1-Normal22"/>
              <w:jc w:val="right"/>
            </w:pPr>
            <w:r>
              <w:t>3,661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197C" w14:textId="77777777" w:rsidR="00BD3575" w:rsidRDefault="00DB6AAF">
            <w:pPr>
              <w:pStyle w:val="P68B1DB1-Normal21"/>
              <w:jc w:val="right"/>
            </w:pPr>
            <w:r>
              <w:t>34,327.50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B7A86" w14:textId="77777777" w:rsidR="00BD3575" w:rsidRDefault="00DB6AAF">
            <w:pPr>
              <w:pStyle w:val="P68B1DB1-Normal22"/>
              <w:jc w:val="right"/>
            </w:pPr>
            <w:r>
              <w:t>2'585,484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81D4D" w14:textId="77777777" w:rsidR="00BD3575" w:rsidRDefault="00BD3575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8FCC6" w14:textId="77777777" w:rsidR="00BD3575" w:rsidRDefault="00BD3575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025FDB0" w14:textId="77777777" w:rsidR="00BD3575" w:rsidRDefault="00BD3575">
            <w:pPr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</w:tr>
      <w:tr w:rsidR="00BD3575" w14:paraId="329714BB" w14:textId="77777777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B16D9" w14:textId="77777777" w:rsidR="00BD3575" w:rsidRDefault="00DB6AAF">
            <w:pPr>
              <w:pStyle w:val="P68B1DB1-Normal21"/>
            </w:pPr>
            <w:r>
              <w:t xml:space="preserve">EPC </w:t>
            </w:r>
            <w:proofErr w:type="spellStart"/>
            <w:r>
              <w:t>Phase</w:t>
            </w:r>
            <w:proofErr w:type="spellEnd"/>
            <w:r>
              <w:t xml:space="preserve"> - PMRT - YEN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8861B" w14:textId="77777777" w:rsidR="00BD3575" w:rsidRDefault="00DB6AAF">
            <w:pPr>
              <w:pStyle w:val="P68B1DB1-Normal21"/>
              <w:jc w:val="right"/>
            </w:pPr>
            <w:r>
              <w:t>147,027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9CA3" w14:textId="77777777" w:rsidR="00BD3575" w:rsidRDefault="00DB6AAF">
            <w:pPr>
              <w:pStyle w:val="P68B1DB1-Normal22"/>
              <w:jc w:val="right"/>
            </w:pPr>
            <w:r>
              <w:t>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0976" w14:textId="77777777" w:rsidR="00BD3575" w:rsidRDefault="00DB6AAF">
            <w:pPr>
              <w:pStyle w:val="P68B1DB1-Normal21"/>
              <w:jc w:val="right"/>
            </w:pPr>
            <w:r>
              <w:t>1,839.41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AAB3D" w14:textId="77777777" w:rsidR="00BD3575" w:rsidRDefault="00DB6AAF">
            <w:pPr>
              <w:pStyle w:val="P68B1DB1-Normal22"/>
              <w:jc w:val="right"/>
            </w:pPr>
            <w:r>
              <w:t>138,348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825EB" w14:textId="77777777" w:rsidR="00BD3575" w:rsidRDefault="00BD3575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36B48" w14:textId="77777777" w:rsidR="00BD3575" w:rsidRDefault="00BD3575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BF78ADE" w14:textId="77777777" w:rsidR="00BD3575" w:rsidRDefault="00BD3575">
            <w:pPr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</w:tr>
      <w:tr w:rsidR="00BD3575" w14:paraId="61986B70" w14:textId="77777777">
        <w:trPr>
          <w:trHeight w:val="28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3189B" w14:textId="77777777" w:rsidR="00BD3575" w:rsidRDefault="00DB6AAF">
            <w:pPr>
              <w:pStyle w:val="P68B1DB1-Normal21"/>
            </w:pPr>
            <w:proofErr w:type="spellStart"/>
            <w:r>
              <w:t>Variations</w:t>
            </w:r>
            <w:proofErr w:type="spellEnd"/>
            <w:r>
              <w:t xml:space="preserve"> </w:t>
            </w:r>
            <w:proofErr w:type="spellStart"/>
            <w:r>
              <w:t>Approved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PO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3E7DF" w14:textId="77777777" w:rsidR="00BD3575" w:rsidRDefault="00DB6AAF">
            <w:pPr>
              <w:pStyle w:val="P68B1DB1-Normal21"/>
              <w:jc w:val="right"/>
            </w:pPr>
            <w:r>
              <w:t>630,154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32F9F" w14:textId="77777777" w:rsidR="00BD3575" w:rsidRDefault="00DB6AAF">
            <w:pPr>
              <w:pStyle w:val="P68B1DB1-Normal22"/>
              <w:jc w:val="right"/>
            </w:pPr>
            <w:r>
              <w:t>10,910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F042" w14:textId="77777777" w:rsidR="00BD3575" w:rsidRDefault="00DB6AAF">
            <w:pPr>
              <w:pStyle w:val="P68B1DB1-Normal22"/>
              <w:jc w:val="right"/>
            </w:pPr>
            <w:r>
              <w:t>419,554.50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BD371" w14:textId="77777777" w:rsidR="00BD3575" w:rsidRDefault="00DB6AAF">
            <w:pPr>
              <w:pStyle w:val="P68B1DB1-Normal22"/>
              <w:jc w:val="right"/>
            </w:pPr>
            <w:r>
              <w:t>197,986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B6A1F" w14:textId="77777777" w:rsidR="00BD3575" w:rsidRDefault="00BD3575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2F976" w14:textId="77777777" w:rsidR="00BD3575" w:rsidRDefault="00BD3575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68E14F" w14:textId="77777777" w:rsidR="00BD3575" w:rsidRDefault="00BD3575">
            <w:pPr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</w:tr>
      <w:tr w:rsidR="00BD3575" w14:paraId="00F963C0" w14:textId="77777777">
        <w:trPr>
          <w:trHeight w:val="28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E9C6D" w14:textId="77777777" w:rsidR="00BD3575" w:rsidRDefault="00DB6AAF">
            <w:pPr>
              <w:pStyle w:val="P68B1DB1-Normal21"/>
            </w:pPr>
            <w:r>
              <w:t xml:space="preserve">EURO 6 </w:t>
            </w:r>
            <w:proofErr w:type="spellStart"/>
            <w:r>
              <w:t>impact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EPC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Units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3DB49" w14:textId="77777777" w:rsidR="00BD3575" w:rsidRDefault="00DB6AAF">
            <w:pPr>
              <w:pStyle w:val="P68B1DB1-Normal21"/>
              <w:jc w:val="right"/>
            </w:pPr>
            <w:r>
              <w:t>71,497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699E" w14:textId="77777777" w:rsidR="00BD3575" w:rsidRDefault="00DB6AAF">
            <w:pPr>
              <w:pStyle w:val="P68B1DB1-Normal22"/>
              <w:jc w:val="right"/>
            </w:pPr>
            <w:r>
              <w:t>41,869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B408" w14:textId="77777777" w:rsidR="00BD3575" w:rsidRDefault="00DB6AAF">
            <w:pPr>
              <w:pStyle w:val="P68B1DB1-Normal22"/>
              <w:jc w:val="right"/>
            </w:pPr>
            <w:r>
              <w:t>47,679.00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76462" w14:textId="77777777" w:rsidR="00BD3575" w:rsidRDefault="00DB6AAF">
            <w:pPr>
              <w:pStyle w:val="P68B1DB1-Normal22"/>
              <w:jc w:val="right"/>
            </w:pPr>
            <w:r>
              <w:t>76,260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2D665" w14:textId="77777777" w:rsidR="00BD3575" w:rsidRDefault="00BD3575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7D5E2" w14:textId="77777777" w:rsidR="00BD3575" w:rsidRDefault="00BD3575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C24F5E1" w14:textId="77777777" w:rsidR="00BD3575" w:rsidRDefault="00BD3575">
            <w:pPr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</w:tr>
      <w:tr w:rsidR="00BD3575" w14:paraId="053C299A" w14:textId="77777777">
        <w:trPr>
          <w:trHeight w:val="91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47A43" w14:textId="77777777" w:rsidR="00BD3575" w:rsidRDefault="00DB6AAF">
            <w:pPr>
              <w:pStyle w:val="P68B1DB1-Normal21"/>
            </w:pPr>
            <w:r>
              <w:t xml:space="preserve">Jobs </w:t>
            </w:r>
            <w:proofErr w:type="spellStart"/>
            <w:r>
              <w:t>Assum</w:t>
            </w:r>
            <w:r>
              <w:t>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PP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36169" w14:textId="77777777" w:rsidR="00BD3575" w:rsidRDefault="00DB6AAF">
            <w:pPr>
              <w:pStyle w:val="P68B1DB1-Normal21"/>
              <w:jc w:val="right"/>
            </w:pPr>
            <w:r>
              <w:t>28,072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F54E" w14:textId="77777777" w:rsidR="00BD3575" w:rsidRDefault="00DB6AAF">
            <w:pPr>
              <w:pStyle w:val="P68B1DB1-Normal22"/>
              <w:jc w:val="right"/>
            </w:pPr>
            <w:r>
              <w:t>7,190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63FD" w14:textId="77777777" w:rsidR="00BD3575" w:rsidRDefault="00DB6AAF">
            <w:pPr>
              <w:pStyle w:val="P68B1DB1-Normal22"/>
              <w:jc w:val="right"/>
            </w:pPr>
            <w:r>
              <w:t>74,175.00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7B2A8" w14:textId="77777777" w:rsidR="00BD3575" w:rsidRDefault="00DB6AAF">
            <w:pPr>
              <w:pStyle w:val="P68B1DB1-Normal22"/>
              <w:jc w:val="right"/>
            </w:pPr>
            <w:r>
              <w:t>9,707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DB764" w14:textId="77777777" w:rsidR="00BD3575" w:rsidRDefault="00BD3575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1416F" w14:textId="77777777" w:rsidR="00BD3575" w:rsidRDefault="00BD3575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2D80B74" w14:textId="77777777" w:rsidR="00BD3575" w:rsidRDefault="00BD3575">
            <w:pPr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</w:tr>
      <w:tr w:rsidR="00BD3575" w14:paraId="23789B18" w14:textId="77777777">
        <w:trPr>
          <w:trHeight w:val="47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49EDB" w14:textId="77777777" w:rsidR="00BD3575" w:rsidRDefault="00DB6AAF">
            <w:pPr>
              <w:pStyle w:val="P68B1DB1-Normal21"/>
            </w:pP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longer</w:t>
            </w:r>
            <w:proofErr w:type="spellEnd"/>
            <w:r>
              <w:t xml:space="preserve"> </w:t>
            </w:r>
            <w:proofErr w:type="spellStart"/>
            <w:r>
              <w:t>term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execution</w:t>
            </w:r>
            <w:proofErr w:type="spellEnd"/>
            <w:r>
              <w:t xml:space="preserve"> EPC (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 xml:space="preserve">: P&amp;M, </w:t>
            </w:r>
            <w:proofErr w:type="spellStart"/>
            <w:r>
              <w:t>EoT</w:t>
            </w:r>
            <w:proofErr w:type="spellEnd"/>
            <w:r>
              <w:t xml:space="preserve">, </w:t>
            </w:r>
            <w:proofErr w:type="spellStart"/>
            <w:r>
              <w:t>Risks</w:t>
            </w:r>
            <w:proofErr w:type="spellEnd"/>
            <w:r>
              <w:t xml:space="preserve">, </w:t>
            </w:r>
            <w:proofErr w:type="spellStart"/>
            <w:r>
              <w:t>Vendors</w:t>
            </w:r>
            <w:proofErr w:type="spellEnd"/>
            <w:r>
              <w:t xml:space="preserve">)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F3450" w14:textId="77777777" w:rsidR="00BD3575" w:rsidRDefault="00DB6AAF">
            <w:pPr>
              <w:pStyle w:val="P68B1DB1-Normal21"/>
              <w:jc w:val="right"/>
            </w:pPr>
            <w:r>
              <w:t>978,992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B89" w14:textId="77777777" w:rsidR="00BD3575" w:rsidRDefault="00DB6AAF">
            <w:pPr>
              <w:pStyle w:val="P68B1DB1-Normal22"/>
              <w:jc w:val="right"/>
            </w:pPr>
            <w:r>
              <w:t>193,205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24E2" w14:textId="77777777" w:rsidR="00BD3575" w:rsidRDefault="00DB6AAF">
            <w:pPr>
              <w:pStyle w:val="P68B1DB1-Normal22"/>
              <w:jc w:val="right"/>
            </w:pPr>
            <w:r>
              <w:t>216,004.97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2AAFA" w14:textId="77777777" w:rsidR="00BD3575" w:rsidRDefault="00DB6AAF">
            <w:pPr>
              <w:pStyle w:val="P68B1DB1-Normal22"/>
              <w:jc w:val="right"/>
            </w:pPr>
            <w:r>
              <w:t>968,378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5E720" w14:textId="77777777" w:rsidR="00BD3575" w:rsidRDefault="00BD3575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09A35" w14:textId="77777777" w:rsidR="00BD3575" w:rsidRDefault="00BD3575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528A618" w14:textId="77777777" w:rsidR="00BD3575" w:rsidRDefault="00BD3575">
            <w:pPr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</w:tr>
      <w:tr w:rsidR="00BD3575" w14:paraId="381B8533" w14:textId="77777777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2C048" w14:textId="77777777" w:rsidR="00BD3575" w:rsidRDefault="00DB6AAF">
            <w:pPr>
              <w:pStyle w:val="P68B1DB1-Normal21"/>
            </w:pPr>
            <w:proofErr w:type="spellStart"/>
            <w:r>
              <w:t>Complement</w:t>
            </w:r>
            <w:r>
              <w:t>ary</w:t>
            </w:r>
            <w:proofErr w:type="spellEnd"/>
            <w:r>
              <w:t xml:space="preserve"> PMRT </w:t>
            </w:r>
            <w:proofErr w:type="spellStart"/>
            <w:r>
              <w:t>Facilities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77ED1" w14:textId="77777777" w:rsidR="00BD3575" w:rsidRDefault="00DB6AAF">
            <w:pPr>
              <w:pStyle w:val="P68B1DB1-Normal21"/>
              <w:jc w:val="right"/>
            </w:pPr>
            <w:r>
              <w:t>151,455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1102" w14:textId="77777777" w:rsidR="00BD3575" w:rsidRDefault="00DB6AAF">
            <w:pPr>
              <w:pStyle w:val="P68B1DB1-Normal22"/>
              <w:jc w:val="right"/>
            </w:pPr>
            <w:r>
              <w:t>712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67F1" w14:textId="77777777" w:rsidR="00BD3575" w:rsidRDefault="00DB6AAF">
            <w:pPr>
              <w:pStyle w:val="P68B1DB1-Normal22"/>
              <w:jc w:val="right"/>
            </w:pPr>
            <w:r>
              <w:t>15,000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902C" w14:textId="77777777" w:rsidR="00BD3575" w:rsidRDefault="00DB6AAF">
            <w:pPr>
              <w:pStyle w:val="P68B1DB1-Normal22"/>
              <w:jc w:val="right"/>
            </w:pPr>
            <w:r>
              <w:t>137,927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B921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1C54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7873A" w14:textId="77777777" w:rsidR="00BD3575" w:rsidRDefault="00DB6AAF">
            <w:pPr>
              <w:pStyle w:val="P68B1DB1-Normal21"/>
              <w:jc w:val="center"/>
            </w:pPr>
            <w:r>
              <w:t>-</w:t>
            </w:r>
          </w:p>
        </w:tc>
      </w:tr>
      <w:tr w:rsidR="00BD3575" w14:paraId="78E4C16D" w14:textId="77777777">
        <w:trPr>
          <w:trHeight w:val="2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1DA29" w14:textId="77777777" w:rsidR="00BD3575" w:rsidRDefault="00DB6AAF">
            <w:pPr>
              <w:pStyle w:val="P68B1DB1-Normal21"/>
            </w:pPr>
            <w:r>
              <w:t xml:space="preserve">EPC Bond </w:t>
            </w:r>
            <w:proofErr w:type="spellStart"/>
            <w:r>
              <w:t>Letter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B0833" w14:textId="77777777" w:rsidR="00BD3575" w:rsidRDefault="00DB6AAF">
            <w:pPr>
              <w:pStyle w:val="P68B1DB1-Normal21"/>
              <w:jc w:val="right"/>
            </w:pPr>
            <w:r>
              <w:t>102,469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53F0" w14:textId="77777777" w:rsidR="00BD3575" w:rsidRDefault="00DB6AAF">
            <w:pPr>
              <w:pStyle w:val="P68B1DB1-Normal22"/>
              <w:jc w:val="right"/>
            </w:pPr>
            <w:r>
              <w:t>8,417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D5A2" w14:textId="77777777" w:rsidR="00BD3575" w:rsidRDefault="00DB6AAF">
            <w:pPr>
              <w:pStyle w:val="P68B1DB1-Normal22"/>
              <w:jc w:val="right"/>
            </w:pPr>
            <w:r>
              <w:t>27,600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69194" w14:textId="77777777" w:rsidR="00BD3575" w:rsidRDefault="00DB6AAF">
            <w:pPr>
              <w:pStyle w:val="P68B1DB1-Normal22"/>
              <w:jc w:val="right"/>
            </w:pPr>
            <w:r>
              <w:t>63,396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998E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BEAA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770C" w14:textId="77777777" w:rsidR="00BD3575" w:rsidRDefault="00DB6AAF">
            <w:pPr>
              <w:pStyle w:val="P68B1DB1-Normal21"/>
              <w:jc w:val="center"/>
            </w:pPr>
            <w:r>
              <w:t> </w:t>
            </w:r>
          </w:p>
        </w:tc>
      </w:tr>
      <w:tr w:rsidR="00BD3575" w14:paraId="37310328" w14:textId="77777777">
        <w:trPr>
          <w:trHeight w:val="13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D6A08" w14:textId="77777777" w:rsidR="00BD3575" w:rsidRDefault="00DB6AAF">
            <w:pPr>
              <w:pStyle w:val="P68B1DB1-Normal21"/>
            </w:pPr>
            <w:r>
              <w:t xml:space="preserve">PMO </w:t>
            </w:r>
            <w:proofErr w:type="spellStart"/>
            <w:r>
              <w:t>services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9A36E" w14:textId="77777777" w:rsidR="00BD3575" w:rsidRDefault="00DB6AAF">
            <w:pPr>
              <w:pStyle w:val="P68B1DB1-Normal21"/>
              <w:jc w:val="right"/>
            </w:pPr>
            <w:r>
              <w:t>114,708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6371" w14:textId="77777777" w:rsidR="00BD3575" w:rsidRDefault="00DB6AAF">
            <w:pPr>
              <w:pStyle w:val="P68B1DB1-Normal22"/>
              <w:jc w:val="right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AD88" w14:textId="77777777" w:rsidR="00BD3575" w:rsidRDefault="00DB6AAF">
            <w:pPr>
              <w:pStyle w:val="P68B1DB1-Normal22"/>
              <w:jc w:val="right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C1F2F" w14:textId="77777777" w:rsidR="00BD3575" w:rsidRDefault="00DB6AAF">
            <w:pPr>
              <w:pStyle w:val="P68B1DB1-Normal22"/>
              <w:jc w:val="right"/>
            </w:pPr>
            <w:r>
              <w:t>114,707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33AD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595F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D966F" w14:textId="77777777" w:rsidR="00BD3575" w:rsidRDefault="00DB6AAF">
            <w:pPr>
              <w:pStyle w:val="P68B1DB1-Normal21"/>
              <w:jc w:val="center"/>
            </w:pPr>
            <w:r>
              <w:t>-</w:t>
            </w:r>
          </w:p>
        </w:tc>
      </w:tr>
      <w:tr w:rsidR="00BD3575" w14:paraId="031A5724" w14:textId="77777777">
        <w:trPr>
          <w:trHeight w:val="11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2DF7C" w14:textId="77777777" w:rsidR="00BD3575" w:rsidRDefault="00DB6AAF">
            <w:pPr>
              <w:pStyle w:val="P68B1DB1-Normal21"/>
            </w:pPr>
            <w:proofErr w:type="spellStart"/>
            <w:r>
              <w:t>Fees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  <w:r>
              <w:t xml:space="preserve"> and </w:t>
            </w:r>
            <w:proofErr w:type="spellStart"/>
            <w:r>
              <w:t>equipment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47C99" w14:textId="77777777" w:rsidR="00BD3575" w:rsidRDefault="00DB6AAF">
            <w:pPr>
              <w:pStyle w:val="P68B1DB1-Normal21"/>
              <w:jc w:val="right"/>
            </w:pPr>
            <w:r>
              <w:t>9,271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F0CB" w14:textId="77777777" w:rsidR="00BD3575" w:rsidRDefault="00DB6AAF">
            <w:pPr>
              <w:pStyle w:val="P68B1DB1-Normal22"/>
              <w:jc w:val="right"/>
            </w:pPr>
            <w: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7549" w14:textId="77777777" w:rsidR="00BD3575" w:rsidRDefault="00DB6AAF">
            <w:pPr>
              <w:pStyle w:val="P68B1DB1-Normal22"/>
              <w:jc w:val="right"/>
            </w:pPr>
            <w:r>
              <w:t>2,760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64DAE" w14:textId="77777777" w:rsidR="00BD3575" w:rsidRDefault="00DB6AAF">
            <w:pPr>
              <w:pStyle w:val="P68B1DB1-Normal22"/>
              <w:jc w:val="right"/>
            </w:pPr>
            <w:r>
              <w:t>3,986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F616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76CC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12A8D" w14:textId="77777777" w:rsidR="00BD3575" w:rsidRDefault="00DB6AAF">
            <w:pPr>
              <w:pStyle w:val="P68B1DB1-Normal21"/>
              <w:jc w:val="center"/>
            </w:pPr>
            <w:r>
              <w:t>-</w:t>
            </w:r>
          </w:p>
        </w:tc>
      </w:tr>
      <w:tr w:rsidR="00BD3575" w14:paraId="6996047E" w14:textId="77777777">
        <w:trPr>
          <w:trHeight w:val="22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DB37B" w14:textId="77777777" w:rsidR="00BD3575" w:rsidRDefault="00DB6AAF">
            <w:pPr>
              <w:pStyle w:val="P68B1DB1-Normal21"/>
            </w:pPr>
            <w:proofErr w:type="spellStart"/>
            <w:r>
              <w:t>Sanitation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operating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B4063" w14:textId="77777777" w:rsidR="00BD3575" w:rsidRDefault="00DB6AAF">
            <w:pPr>
              <w:pStyle w:val="P68B1DB1-Normal21"/>
              <w:jc w:val="right"/>
            </w:pPr>
            <w:r>
              <w:t>107,615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0A7A" w14:textId="77777777" w:rsidR="00BD3575" w:rsidRDefault="00DB6AAF">
            <w:pPr>
              <w:pStyle w:val="P68B1DB1-Normal22"/>
              <w:jc w:val="right"/>
            </w:pPr>
            <w:r>
              <w:t>586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D58A" w14:textId="77777777" w:rsidR="00BD3575" w:rsidRDefault="00DB6AAF">
            <w:pPr>
              <w:pStyle w:val="P68B1DB1-Normal22"/>
              <w:jc w:val="right"/>
            </w:pPr>
            <w:r>
              <w:t>3,500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50CA3" w14:textId="77777777" w:rsidR="00BD3575" w:rsidRDefault="00DB6AAF">
            <w:pPr>
              <w:pStyle w:val="P68B1DB1-Normal22"/>
              <w:jc w:val="right"/>
            </w:pPr>
            <w:r>
              <w:t>95,207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AC91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3156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8710F" w14:textId="77777777" w:rsidR="00BD3575" w:rsidRDefault="00DB6AAF">
            <w:pPr>
              <w:pStyle w:val="P68B1DB1-Normal21"/>
              <w:jc w:val="center"/>
            </w:pPr>
            <w:r>
              <w:t>-</w:t>
            </w:r>
          </w:p>
        </w:tc>
      </w:tr>
      <w:tr w:rsidR="00BD3575" w14:paraId="10EC181B" w14:textId="77777777">
        <w:trPr>
          <w:trHeight w:val="13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3750E2" w14:textId="77777777" w:rsidR="00BD3575" w:rsidRDefault="00DB6AAF">
            <w:pPr>
              <w:pStyle w:val="P68B1DB1-Normal21"/>
            </w:pPr>
            <w:r>
              <w:t xml:space="preserve">New </w:t>
            </w:r>
            <w:proofErr w:type="spellStart"/>
            <w:r>
              <w:t>buildings</w:t>
            </w:r>
            <w:proofErr w:type="spellEnd"/>
            <w:r>
              <w:t xml:space="preserve">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6B249" w14:textId="77777777" w:rsidR="00BD3575" w:rsidRDefault="00DB6AAF">
            <w:pPr>
              <w:pStyle w:val="P68B1DB1-Normal21"/>
              <w:jc w:val="right"/>
            </w:pPr>
            <w:r>
              <w:t>179,812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7F98" w14:textId="77777777" w:rsidR="00BD3575" w:rsidRDefault="00DB6AAF">
            <w:pPr>
              <w:pStyle w:val="P68B1DB1-Normal22"/>
              <w:jc w:val="right"/>
            </w:pPr>
            <w:r>
              <w:t>15,357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EBB1" w14:textId="77777777" w:rsidR="00BD3575" w:rsidRDefault="00DB6AAF">
            <w:pPr>
              <w:pStyle w:val="P68B1DB1-Normal22"/>
              <w:jc w:val="right"/>
            </w:pPr>
            <w:r>
              <w:t>12,998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FE0B6" w14:textId="77777777" w:rsidR="00BD3575" w:rsidRDefault="00DB6AAF">
            <w:pPr>
              <w:pStyle w:val="P68B1DB1-Normal22"/>
              <w:jc w:val="right"/>
            </w:pPr>
            <w:r>
              <w:t>178,155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5FE4" w14:textId="77777777" w:rsidR="00BD3575" w:rsidRDefault="00DB6AAF">
            <w:pPr>
              <w:pStyle w:val="P68B1DB1-Normal22"/>
              <w:jc w:val="center"/>
            </w:pPr>
            <w:r>
              <w:t>6.57%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6308" w14:textId="77777777" w:rsidR="00BD3575" w:rsidRDefault="00DB6AAF">
            <w:pPr>
              <w:pStyle w:val="P68B1DB1-Normal22"/>
              <w:jc w:val="center"/>
            </w:pPr>
            <w:r>
              <w:t>9.40%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EDC09" w14:textId="77777777" w:rsidR="00BD3575" w:rsidRDefault="00DB6AAF">
            <w:pPr>
              <w:pStyle w:val="P68B1DB1-Normal22"/>
              <w:jc w:val="center"/>
            </w:pPr>
            <w:r>
              <w:t>88.05%</w:t>
            </w:r>
          </w:p>
        </w:tc>
      </w:tr>
      <w:tr w:rsidR="00BD3575" w14:paraId="2CC15B5E" w14:textId="77777777">
        <w:trPr>
          <w:trHeight w:val="23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6582E6" w14:textId="77777777" w:rsidR="00BD3575" w:rsidRDefault="00DB6AAF">
            <w:pPr>
              <w:pStyle w:val="P68B1DB1-Normal21"/>
            </w:pPr>
            <w:proofErr w:type="spellStart"/>
            <w:r>
              <w:t>Complementary</w:t>
            </w:r>
            <w:proofErr w:type="spellEnd"/>
            <w:r>
              <w:t xml:space="preserve"> Works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B8925" w14:textId="77777777" w:rsidR="00BD3575" w:rsidRDefault="00DB6AAF">
            <w:pPr>
              <w:pStyle w:val="P68B1DB1-Normal21"/>
              <w:jc w:val="right"/>
            </w:pPr>
            <w:r>
              <w:t>452,764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373E" w14:textId="77777777" w:rsidR="00BD3575" w:rsidRDefault="00DB6AAF">
            <w:pPr>
              <w:pStyle w:val="P68B1DB1-Normal22"/>
              <w:jc w:val="right"/>
            </w:pPr>
            <w:r>
              <w:t>51,113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2774" w14:textId="77777777" w:rsidR="00BD3575" w:rsidRDefault="00DB6AAF">
            <w:pPr>
              <w:pStyle w:val="P68B1DB1-Normal22"/>
              <w:jc w:val="right"/>
            </w:pPr>
            <w:r>
              <w:t>116,442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B7691" w14:textId="77777777" w:rsidR="00BD3575" w:rsidRDefault="00DB6AAF">
            <w:pPr>
              <w:pStyle w:val="P68B1DB1-Normal22"/>
              <w:jc w:val="right"/>
            </w:pPr>
            <w:r>
              <w:t>344,042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61F6" w14:textId="77777777" w:rsidR="00BD3575" w:rsidRDefault="00DB6AAF">
            <w:pPr>
              <w:pStyle w:val="P68B1DB1-Normal22"/>
              <w:jc w:val="center"/>
            </w:pPr>
            <w:r>
              <w:t>6.57%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C035" w14:textId="77777777" w:rsidR="00BD3575" w:rsidRDefault="00DB6AAF">
            <w:pPr>
              <w:pStyle w:val="P68B1DB1-Normal22"/>
              <w:jc w:val="center"/>
            </w:pPr>
            <w:r>
              <w:t>9.40%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C80AE" w14:textId="77777777" w:rsidR="00BD3575" w:rsidRDefault="00DB6AAF">
            <w:pPr>
              <w:pStyle w:val="P68B1DB1-Normal22"/>
              <w:jc w:val="center"/>
            </w:pPr>
            <w:r>
              <w:t>88.05%</w:t>
            </w:r>
          </w:p>
        </w:tc>
      </w:tr>
      <w:tr w:rsidR="00BD3575" w14:paraId="30FECBD4" w14:textId="77777777">
        <w:trPr>
          <w:trHeight w:val="13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DAFBEB" w14:textId="77777777" w:rsidR="00BD3575" w:rsidRDefault="00DB6AAF">
            <w:pPr>
              <w:pStyle w:val="P68B1DB1-Normal21"/>
            </w:pPr>
            <w:r>
              <w:t xml:space="preserve">Basic </w:t>
            </w:r>
            <w:proofErr w:type="spellStart"/>
            <w:r>
              <w:t>services</w:t>
            </w:r>
            <w:proofErr w:type="spellEnd"/>
            <w:r>
              <w:t xml:space="preserve"> TR </w:t>
            </w:r>
            <w:proofErr w:type="spellStart"/>
            <w:r>
              <w:t>camps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F26E3" w14:textId="77777777" w:rsidR="00BD3575" w:rsidRDefault="00DB6AAF">
            <w:pPr>
              <w:pStyle w:val="P68B1DB1-Normal21"/>
              <w:jc w:val="right"/>
            </w:pPr>
            <w:r>
              <w:t>9,673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9500" w14:textId="77777777" w:rsidR="00BD3575" w:rsidRDefault="00DB6AAF">
            <w:pPr>
              <w:pStyle w:val="P68B1DB1-Normal22"/>
              <w:jc w:val="right"/>
            </w:pPr>
            <w:r>
              <w:t>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063A" w14:textId="77777777" w:rsidR="00BD3575" w:rsidRDefault="00DB6AAF">
            <w:pPr>
              <w:pStyle w:val="P68B1DB1-Normal22"/>
              <w:jc w:val="right"/>
            </w:pPr>
            <w:r>
              <w:t>2,058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3C820" w14:textId="77777777" w:rsidR="00BD3575" w:rsidRDefault="00DB6AAF">
            <w:pPr>
              <w:pStyle w:val="P68B1DB1-Normal22"/>
              <w:jc w:val="right"/>
            </w:pPr>
            <w:r>
              <w:t>2,419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1A10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B89F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47950" w14:textId="77777777" w:rsidR="00BD3575" w:rsidRDefault="00DB6AAF">
            <w:pPr>
              <w:pStyle w:val="P68B1DB1-Normal21"/>
              <w:jc w:val="center"/>
            </w:pPr>
            <w:r>
              <w:t>-</w:t>
            </w:r>
          </w:p>
        </w:tc>
      </w:tr>
      <w:tr w:rsidR="00BD3575" w14:paraId="5EEA56FF" w14:textId="77777777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DE4EB8" w14:textId="77777777" w:rsidR="00BD3575" w:rsidRDefault="00DB6AAF">
            <w:pPr>
              <w:pStyle w:val="P68B1DB1-Normal21"/>
            </w:pPr>
            <w:r>
              <w:t>Access control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EC65B" w14:textId="77777777" w:rsidR="00BD3575" w:rsidRDefault="00DB6AAF">
            <w:pPr>
              <w:pStyle w:val="P68B1DB1-Normal21"/>
              <w:jc w:val="right"/>
            </w:pPr>
            <w:r>
              <w:t>10,618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5EE9" w14:textId="77777777" w:rsidR="00BD3575" w:rsidRDefault="00DB6AAF">
            <w:pPr>
              <w:pStyle w:val="P68B1DB1-Normal22"/>
              <w:jc w:val="right"/>
            </w:pPr>
            <w:r>
              <w:t>744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DFEB" w14:textId="77777777" w:rsidR="00BD3575" w:rsidRDefault="00DB6AAF">
            <w:pPr>
              <w:pStyle w:val="P68B1DB1-Normal22"/>
              <w:jc w:val="right"/>
            </w:pPr>
            <w:r>
              <w:t>1,800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81AF4" w14:textId="77777777" w:rsidR="00BD3575" w:rsidRDefault="00DB6AAF">
            <w:pPr>
              <w:pStyle w:val="P68B1DB1-Normal22"/>
              <w:jc w:val="right"/>
            </w:pPr>
            <w:r>
              <w:t>7,196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E1A7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836F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602E7" w14:textId="77777777" w:rsidR="00BD3575" w:rsidRDefault="00DB6AAF">
            <w:pPr>
              <w:pStyle w:val="P68B1DB1-Normal21"/>
              <w:jc w:val="center"/>
            </w:pPr>
            <w:r>
              <w:t>-</w:t>
            </w:r>
          </w:p>
        </w:tc>
      </w:tr>
      <w:tr w:rsidR="00BD3575" w14:paraId="5BDE18E2" w14:textId="77777777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1850DF" w14:textId="77777777" w:rsidR="00BD3575" w:rsidRDefault="00DB6AAF">
            <w:pPr>
              <w:pStyle w:val="P68B1DB1-Normal21"/>
            </w:pPr>
            <w:proofErr w:type="spellStart"/>
            <w:r>
              <w:t>Exec</w:t>
            </w:r>
            <w:proofErr w:type="spellEnd"/>
            <w:r>
              <w:t xml:space="preserve">. </w:t>
            </w:r>
            <w:proofErr w:type="spellStart"/>
            <w:r>
              <w:t>Auxiliary</w:t>
            </w:r>
            <w:proofErr w:type="spellEnd"/>
            <w:r>
              <w:t xml:space="preserve"> </w:t>
            </w:r>
            <w:proofErr w:type="spellStart"/>
            <w:r>
              <w:t>Units</w:t>
            </w:r>
            <w:proofErr w:type="spellEnd"/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36BDB" w14:textId="77777777" w:rsidR="00BD3575" w:rsidRDefault="00DB6AAF">
            <w:pPr>
              <w:pStyle w:val="P68B1DB1-Normal21"/>
              <w:jc w:val="right"/>
            </w:pPr>
            <w:r>
              <w:t>2'537,640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792A" w14:textId="77777777" w:rsidR="00BD3575" w:rsidRDefault="00DB6AAF">
            <w:pPr>
              <w:pStyle w:val="P68B1DB1-Normal22"/>
              <w:jc w:val="right"/>
            </w:pPr>
            <w:r>
              <w:t>111,603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1A78" w14:textId="77777777" w:rsidR="00BD3575" w:rsidRDefault="00DB6AAF">
            <w:pPr>
              <w:pStyle w:val="P68B1DB1-Normal22"/>
              <w:jc w:val="right"/>
            </w:pPr>
            <w:r>
              <w:t>155,904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A621B" w14:textId="77777777" w:rsidR="00BD3575" w:rsidRDefault="00DB6AAF">
            <w:pPr>
              <w:pStyle w:val="P68B1DB1-Normal22"/>
              <w:jc w:val="right"/>
            </w:pPr>
            <w:r>
              <w:t>2'260,327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9109" w14:textId="77777777" w:rsidR="00BD3575" w:rsidRDefault="00DB6AAF">
            <w:pPr>
              <w:pStyle w:val="P68B1DB1-Normal22"/>
              <w:jc w:val="center"/>
            </w:pPr>
            <w:r>
              <w:t>6.57%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B6FA" w14:textId="77777777" w:rsidR="00BD3575" w:rsidRDefault="00DB6AAF">
            <w:pPr>
              <w:pStyle w:val="P68B1DB1-Normal22"/>
              <w:jc w:val="center"/>
            </w:pPr>
            <w:r>
              <w:t>9.40%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24AD8" w14:textId="77777777" w:rsidR="00BD3575" w:rsidRDefault="00DB6AAF">
            <w:pPr>
              <w:pStyle w:val="P68B1DB1-Normal21"/>
              <w:jc w:val="center"/>
            </w:pPr>
            <w:r>
              <w:t>88.05%</w:t>
            </w:r>
          </w:p>
        </w:tc>
      </w:tr>
      <w:tr w:rsidR="00BD3575" w14:paraId="605B1552" w14:textId="77777777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D7CD3" w14:textId="77777777" w:rsidR="00BD3575" w:rsidRDefault="00DB6AAF">
            <w:pPr>
              <w:pStyle w:val="P68B1DB1-Normal21"/>
            </w:pPr>
            <w:r>
              <w:t>Cerro el Faro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AABFA" w14:textId="77777777" w:rsidR="00BD3575" w:rsidRDefault="00DB6AAF">
            <w:pPr>
              <w:pStyle w:val="P68B1DB1-Normal21"/>
              <w:jc w:val="right"/>
            </w:pPr>
            <w:r>
              <w:t>44,274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8371" w14:textId="77777777" w:rsidR="00BD3575" w:rsidRDefault="00DB6AAF">
            <w:pPr>
              <w:pStyle w:val="P68B1DB1-Normal22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5600" w14:textId="77777777" w:rsidR="00BD3575" w:rsidRDefault="00DB6AAF">
            <w:pPr>
              <w:pStyle w:val="P68B1DB1-Normal22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71091" w14:textId="77777777" w:rsidR="00BD3575" w:rsidRDefault="00DB6AAF">
            <w:pPr>
              <w:pStyle w:val="P68B1DB1-Normal22"/>
              <w:jc w:val="right"/>
            </w:pPr>
            <w:r>
              <w:t>44,278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9153" w14:textId="77777777" w:rsidR="00BD3575" w:rsidRDefault="00DB6AAF">
            <w:pPr>
              <w:pStyle w:val="P68B1DB1-Normal22"/>
              <w:jc w:val="center"/>
            </w:pPr>
            <w:r>
              <w:t>100.00%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E05D" w14:textId="77777777" w:rsidR="00BD3575" w:rsidRDefault="00DB6AAF">
            <w:pPr>
              <w:pStyle w:val="P68B1DB1-Normal22"/>
              <w:jc w:val="center"/>
            </w:pPr>
            <w:r>
              <w:t>100.00%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E2701" w14:textId="77777777" w:rsidR="00BD3575" w:rsidRDefault="00DB6AAF">
            <w:pPr>
              <w:pStyle w:val="P68B1DB1-Normal22"/>
              <w:jc w:val="center"/>
            </w:pPr>
            <w:r>
              <w:t>100.00%</w:t>
            </w:r>
          </w:p>
        </w:tc>
      </w:tr>
      <w:tr w:rsidR="00BD3575" w14:paraId="4F428A8B" w14:textId="77777777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4DE154" w14:textId="77777777" w:rsidR="00BD3575" w:rsidRDefault="00DB6AAF">
            <w:pPr>
              <w:pStyle w:val="P68B1DB1-Normal21"/>
            </w:pPr>
            <w:proofErr w:type="spellStart"/>
            <w:r>
              <w:t>Services</w:t>
            </w:r>
            <w:proofErr w:type="spellEnd"/>
            <w:r>
              <w:t xml:space="preserve"> and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Commissioning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A14A1" w14:textId="77777777" w:rsidR="00BD3575" w:rsidRDefault="00DB6AAF">
            <w:pPr>
              <w:pStyle w:val="P68B1DB1-Normal21"/>
              <w:jc w:val="right"/>
            </w:pPr>
            <w:r>
              <w:t>206,561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3869" w14:textId="77777777" w:rsidR="00BD3575" w:rsidRDefault="00DB6AAF">
            <w:pPr>
              <w:pStyle w:val="P68B1DB1-Normal22"/>
              <w:jc w:val="right"/>
            </w:pPr>
            <w:r>
              <w:t>18,994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ED867" w14:textId="77777777" w:rsidR="00BD3575" w:rsidRDefault="00DB6AAF">
            <w:pPr>
              <w:pStyle w:val="P68B1DB1-Normal22"/>
              <w:jc w:val="right"/>
            </w:pPr>
            <w:r>
              <w:t>137,118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0D378" w14:textId="77777777" w:rsidR="00BD3575" w:rsidRDefault="00DB6AAF">
            <w:pPr>
              <w:pStyle w:val="P68B1DB1-Normal22"/>
              <w:jc w:val="right"/>
            </w:pPr>
            <w:r>
              <w:t>52,727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5339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8721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2CA29" w14:textId="77777777" w:rsidR="00BD3575" w:rsidRDefault="00DB6AAF">
            <w:pPr>
              <w:pStyle w:val="P68B1DB1-Normal21"/>
              <w:jc w:val="center"/>
            </w:pPr>
            <w:r>
              <w:t>-</w:t>
            </w:r>
          </w:p>
        </w:tc>
      </w:tr>
      <w:tr w:rsidR="00BD3575" w14:paraId="1D82A76C" w14:textId="77777777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C9D5E1" w14:textId="77777777" w:rsidR="00BD3575" w:rsidRDefault="00DB6AAF">
            <w:pPr>
              <w:pStyle w:val="P68B1DB1-Normal21"/>
            </w:pPr>
            <w:proofErr w:type="spellStart"/>
            <w:r>
              <w:t>Principles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- Cobra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EFB58" w14:textId="77777777" w:rsidR="00BD3575" w:rsidRDefault="00DB6AAF">
            <w:pPr>
              <w:pStyle w:val="P68B1DB1-Normal21"/>
              <w:jc w:val="right"/>
            </w:pPr>
            <w:r>
              <w:t>85,736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3A4E" w14:textId="77777777" w:rsidR="00BD3575" w:rsidRDefault="00DB6AAF">
            <w:pPr>
              <w:pStyle w:val="P68B1DB1-Normal22"/>
              <w:jc w:val="right"/>
            </w:pPr>
            <w:r>
              <w:t>67,653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2AC4A" w14:textId="77777777" w:rsidR="00BD3575" w:rsidRDefault="00DB6AAF">
            <w:pPr>
              <w:pStyle w:val="P68B1DB1-Normal22"/>
              <w:jc w:val="right"/>
            </w:pPr>
            <w:r>
              <w:t>29,120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84037" w14:textId="77777777" w:rsidR="00BD3575" w:rsidRDefault="00DB6AAF">
            <w:pPr>
              <w:pStyle w:val="P68B1DB1-Normal22"/>
              <w:jc w:val="right"/>
            </w:pPr>
            <w:r>
              <w:t>124,865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53B2" w14:textId="77777777" w:rsidR="00BD3575" w:rsidRDefault="00DB6AAF">
            <w:pPr>
              <w:pStyle w:val="P68B1DB1-Normal19"/>
              <w:jc w:val="center"/>
            </w:pPr>
            <w:r>
              <w:t>(*)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CC12" w14:textId="77777777" w:rsidR="00BD3575" w:rsidRDefault="00DB6AAF">
            <w:pPr>
              <w:pStyle w:val="P68B1DB1-Normal19"/>
              <w:jc w:val="center"/>
            </w:pPr>
            <w:r>
              <w:t>(*)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0CAD9" w14:textId="77777777" w:rsidR="00BD3575" w:rsidRDefault="00DB6AAF">
            <w:pPr>
              <w:pStyle w:val="P68B1DB1-Normal21"/>
              <w:jc w:val="center"/>
            </w:pPr>
            <w:r>
              <w:t>-</w:t>
            </w:r>
          </w:p>
        </w:tc>
      </w:tr>
      <w:tr w:rsidR="00BD3575" w14:paraId="61CE9F5A" w14:textId="77777777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5DA3BD" w14:textId="77777777" w:rsidR="00BD3575" w:rsidRDefault="00DB6AAF">
            <w:pPr>
              <w:pStyle w:val="P68B1DB1-Normal21"/>
            </w:pPr>
            <w:r>
              <w:t xml:space="preserve">Change </w:t>
            </w:r>
            <w:proofErr w:type="spellStart"/>
            <w:r>
              <w:t>Orders</w:t>
            </w:r>
            <w:proofErr w:type="spellEnd"/>
            <w:r>
              <w:t xml:space="preserve"> - Cobra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F6AC4" w14:textId="77777777" w:rsidR="00BD3575" w:rsidRDefault="00DB6AAF">
            <w:pPr>
              <w:pStyle w:val="P68B1DB1-Normal21"/>
              <w:jc w:val="right"/>
            </w:pPr>
            <w:r>
              <w:t>284,875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CAA1" w14:textId="77777777" w:rsidR="00BD3575" w:rsidRDefault="00DB6AAF">
            <w:pPr>
              <w:pStyle w:val="P68B1DB1-Normal22"/>
              <w:jc w:val="right"/>
            </w:pPr>
            <w:r>
              <w:t>197,253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4BD8" w14:textId="77777777" w:rsidR="00BD3575" w:rsidRDefault="00DB6AAF">
            <w:pPr>
              <w:pStyle w:val="P68B1DB1-Normal22"/>
              <w:jc w:val="right"/>
            </w:pPr>
            <w:r>
              <w:t>306,389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370A5" w14:textId="77777777" w:rsidR="00BD3575" w:rsidRDefault="00DB6AAF">
            <w:pPr>
              <w:pStyle w:val="P68B1DB1-Normal22"/>
              <w:jc w:val="right"/>
            </w:pPr>
            <w:r>
              <w:t>208,287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0EE1" w14:textId="77777777" w:rsidR="00BD3575" w:rsidRDefault="00DB6AAF">
            <w:pPr>
              <w:pStyle w:val="P68B1DB1-Normal19"/>
              <w:jc w:val="center"/>
            </w:pPr>
            <w:r>
              <w:t>(*)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BCA2" w14:textId="77777777" w:rsidR="00BD3575" w:rsidRDefault="00DB6AAF">
            <w:pPr>
              <w:pStyle w:val="P68B1DB1-Normal19"/>
              <w:jc w:val="center"/>
            </w:pPr>
            <w:r>
              <w:t>(*)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9661A" w14:textId="77777777" w:rsidR="00BD3575" w:rsidRDefault="00DB6AAF">
            <w:pPr>
              <w:pStyle w:val="P68B1DB1-Normal21"/>
              <w:jc w:val="center"/>
            </w:pPr>
            <w:r>
              <w:t>-</w:t>
            </w:r>
          </w:p>
        </w:tc>
      </w:tr>
      <w:tr w:rsidR="00BD3575" w14:paraId="582103FC" w14:textId="77777777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42A78" w14:textId="77777777" w:rsidR="00BD3575" w:rsidRDefault="00DB6AAF">
            <w:pPr>
              <w:pStyle w:val="P68B1DB1-Normal21"/>
            </w:pPr>
            <w:r>
              <w:t xml:space="preserve">O&amp;M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COM and </w:t>
            </w:r>
            <w:proofErr w:type="spellStart"/>
            <w:r>
              <w:t>Start</w:t>
            </w:r>
            <w:proofErr w:type="spellEnd"/>
            <w:r>
              <w:t>-up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1136" w14:textId="77777777" w:rsidR="00BD3575" w:rsidRDefault="00DB6AAF">
            <w:pPr>
              <w:pStyle w:val="P68B1DB1-Normal21"/>
              <w:jc w:val="right"/>
            </w:pPr>
            <w:r>
              <w:t>16,648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39BC" w14:textId="77777777" w:rsidR="00BD3575" w:rsidRDefault="00DB6AAF">
            <w:pPr>
              <w:pStyle w:val="P68B1DB1-Normal22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9119" w14:textId="77777777" w:rsidR="00BD3575" w:rsidRDefault="00DB6AAF">
            <w:pPr>
              <w:pStyle w:val="P68B1DB1-Normal22"/>
              <w:jc w:val="right"/>
            </w:pPr>
            <w:r>
              <w:t>16,134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167EF" w14:textId="77777777" w:rsidR="00BD3575" w:rsidRDefault="00DB6AAF">
            <w:pPr>
              <w:pStyle w:val="P68B1DB1-Normal22"/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45C4" w14:textId="77777777" w:rsidR="00BD3575" w:rsidRDefault="00DB6AAF">
            <w:pPr>
              <w:pStyle w:val="P68B1DB1-Normal19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597A" w14:textId="77777777" w:rsidR="00BD3575" w:rsidRDefault="00DB6AAF">
            <w:pPr>
              <w:pStyle w:val="P68B1DB1-Normal19"/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7F07" w14:textId="77777777" w:rsidR="00BD3575" w:rsidRDefault="00DB6AAF">
            <w:pPr>
              <w:pStyle w:val="P68B1DB1-Normal21"/>
              <w:jc w:val="center"/>
            </w:pPr>
            <w:r>
              <w:t> </w:t>
            </w:r>
          </w:p>
        </w:tc>
      </w:tr>
      <w:tr w:rsidR="00BD3575" w14:paraId="00B6974D" w14:textId="77777777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A2CF97" w14:textId="77777777" w:rsidR="00BD3575" w:rsidRDefault="00DB6AAF">
            <w:pPr>
              <w:pStyle w:val="P68B1DB1-Normal21"/>
            </w:pPr>
            <w:proofErr w:type="spellStart"/>
            <w:r>
              <w:t>Acquisition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PMRT </w:t>
            </w:r>
            <w:proofErr w:type="spellStart"/>
            <w:r>
              <w:t>Vehicles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27CB1" w14:textId="77777777" w:rsidR="00BD3575" w:rsidRDefault="00DB6AAF">
            <w:pPr>
              <w:pStyle w:val="P68B1DB1-Normal21"/>
              <w:jc w:val="right"/>
            </w:pPr>
            <w: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6BEA" w14:textId="77777777" w:rsidR="00BD3575" w:rsidRDefault="00DB6AAF">
            <w:pPr>
              <w:pStyle w:val="P68B1DB1-Normal22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D324" w14:textId="77777777" w:rsidR="00BD3575" w:rsidRDefault="00DB6AAF">
            <w:pPr>
              <w:pStyle w:val="P68B1DB1-Normal21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ECB78" w14:textId="77777777" w:rsidR="00BD3575" w:rsidRDefault="00DB6AAF">
            <w:pPr>
              <w:pStyle w:val="P68B1DB1-Normal22"/>
              <w:jc w:val="right"/>
            </w:pPr>
            <w: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87B1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8DFC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DB99E" w14:textId="77777777" w:rsidR="00BD3575" w:rsidRDefault="00DB6AAF">
            <w:pPr>
              <w:pStyle w:val="P68B1DB1-Normal21"/>
              <w:jc w:val="center"/>
            </w:pPr>
            <w:r>
              <w:t>-</w:t>
            </w:r>
          </w:p>
        </w:tc>
      </w:tr>
      <w:tr w:rsidR="00BD3575" w14:paraId="12D35903" w14:textId="77777777">
        <w:trPr>
          <w:trHeight w:val="45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D72197" w14:textId="77777777" w:rsidR="00BD3575" w:rsidRDefault="00DB6AAF">
            <w:pPr>
              <w:pStyle w:val="P68B1DB1-Normal21"/>
            </w:pPr>
            <w:proofErr w:type="spellStart"/>
            <w:r>
              <w:t>Demoliti</w:t>
            </w:r>
            <w:r>
              <w:t>on</w:t>
            </w:r>
            <w:proofErr w:type="spellEnd"/>
            <w:r>
              <w:t xml:space="preserve"> and </w:t>
            </w:r>
            <w:proofErr w:type="spellStart"/>
            <w:r>
              <w:t>Construction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Villarreal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Buildings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08CAC" w14:textId="77777777" w:rsidR="00BD3575" w:rsidRDefault="00DB6AAF">
            <w:pPr>
              <w:pStyle w:val="P68B1DB1-Normal21"/>
              <w:jc w:val="right"/>
            </w:pPr>
            <w:r>
              <w:t>14,006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5BA8" w14:textId="77777777" w:rsidR="00BD3575" w:rsidRDefault="00DB6AAF">
            <w:pPr>
              <w:pStyle w:val="P68B1DB1-Normal22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0637" w14:textId="77777777" w:rsidR="00BD3575" w:rsidRDefault="00DB6AAF">
            <w:pPr>
              <w:pStyle w:val="P68B1DB1-Normal22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918B6" w14:textId="77777777" w:rsidR="00BD3575" w:rsidRDefault="00DB6AAF">
            <w:pPr>
              <w:pStyle w:val="P68B1DB1-Normal22"/>
              <w:jc w:val="right"/>
            </w:pPr>
            <w:r>
              <w:t>13,999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E8D1" w14:textId="77777777" w:rsidR="00BD3575" w:rsidRDefault="00DB6AAF">
            <w:pPr>
              <w:pStyle w:val="P68B1DB1-Normal22"/>
              <w:jc w:val="center"/>
            </w:pPr>
            <w:r>
              <w:t>100.00%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6694" w14:textId="77777777" w:rsidR="00BD3575" w:rsidRDefault="00DB6AAF">
            <w:pPr>
              <w:pStyle w:val="P68B1DB1-Normal22"/>
              <w:jc w:val="center"/>
            </w:pPr>
            <w:r>
              <w:t>100.00%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90EA3" w14:textId="77777777" w:rsidR="00BD3575" w:rsidRDefault="00DB6AAF">
            <w:pPr>
              <w:pStyle w:val="P68B1DB1-Normal22"/>
              <w:jc w:val="center"/>
            </w:pPr>
            <w:r>
              <w:t>100.00%</w:t>
            </w:r>
          </w:p>
        </w:tc>
      </w:tr>
      <w:tr w:rsidR="00BD3575" w14:paraId="3CF0CA5C" w14:textId="77777777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0A7ABE" w14:textId="77777777" w:rsidR="00BD3575" w:rsidRDefault="00DB6AAF">
            <w:pPr>
              <w:pStyle w:val="P68B1DB1-Normal21"/>
            </w:pPr>
            <w:proofErr w:type="spellStart"/>
            <w:r>
              <w:t>Demolition</w:t>
            </w:r>
            <w:proofErr w:type="spellEnd"/>
            <w:r>
              <w:t xml:space="preserve"> and </w:t>
            </w:r>
            <w:proofErr w:type="spellStart"/>
            <w:r>
              <w:t>Construction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DICAPI </w:t>
            </w:r>
            <w:proofErr w:type="spellStart"/>
            <w:r>
              <w:t>Buildings</w:t>
            </w:r>
            <w:proofErr w:type="spellEnd"/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39CC6" w14:textId="77777777" w:rsidR="00BD3575" w:rsidRDefault="00DB6AAF">
            <w:pPr>
              <w:pStyle w:val="P68B1DB1-Normal21"/>
              <w:jc w:val="right"/>
            </w:pPr>
            <w:r>
              <w:t>12,142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11EC" w14:textId="77777777" w:rsidR="00BD3575" w:rsidRDefault="00DB6AAF">
            <w:pPr>
              <w:pStyle w:val="P68B1DB1-Normal22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67B34" w14:textId="77777777" w:rsidR="00BD3575" w:rsidRDefault="00DB6AAF">
            <w:pPr>
              <w:pStyle w:val="P68B1DB1-Normal21"/>
              <w:jc w:val="right"/>
            </w:pPr>
            <w:r>
              <w:t>7,990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14619" w14:textId="77777777" w:rsidR="00BD3575" w:rsidRDefault="00DB6AAF">
            <w:pPr>
              <w:pStyle w:val="P68B1DB1-Normal22"/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D625" w14:textId="77777777" w:rsidR="00BD3575" w:rsidRDefault="00DB6AAF">
            <w:pPr>
              <w:pStyle w:val="P68B1DB1-Normal19"/>
              <w:jc w:val="center"/>
            </w:pPr>
            <w:r>
              <w:t>(**)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1198" w14:textId="77777777" w:rsidR="00BD3575" w:rsidRDefault="00DB6AAF">
            <w:pPr>
              <w:pStyle w:val="P68B1DB1-Normal19"/>
              <w:jc w:val="center"/>
            </w:pPr>
            <w:r>
              <w:t>(**)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DF15A" w14:textId="77777777" w:rsidR="00BD3575" w:rsidRDefault="00DB6AAF">
            <w:pPr>
              <w:pStyle w:val="P68B1DB1-Normal21"/>
              <w:jc w:val="center"/>
            </w:pPr>
            <w:r>
              <w:t>-</w:t>
            </w:r>
          </w:p>
        </w:tc>
      </w:tr>
      <w:tr w:rsidR="00BD3575" w14:paraId="501226FC" w14:textId="77777777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8FFBE4" w14:textId="77777777" w:rsidR="00BD3575" w:rsidRDefault="00DB6AAF">
            <w:pPr>
              <w:pStyle w:val="P68B1DB1-Normal21"/>
            </w:pPr>
            <w:proofErr w:type="spellStart"/>
            <w:r>
              <w:t>Insurance</w:t>
            </w:r>
            <w:proofErr w:type="spellEnd"/>
            <w:r>
              <w:t xml:space="preserve"> and </w:t>
            </w:r>
            <w:proofErr w:type="spellStart"/>
            <w:r>
              <w:t>Guarantees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contracted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PETROPERU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5D2E" w14:textId="77777777" w:rsidR="00BD3575" w:rsidRDefault="00DB6AAF">
            <w:pPr>
              <w:pStyle w:val="P68B1DB1-Normal21"/>
              <w:jc w:val="right"/>
            </w:pPr>
            <w:r>
              <w:t>42,591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7138" w14:textId="77777777" w:rsidR="00BD3575" w:rsidRDefault="00DB6AAF">
            <w:pPr>
              <w:pStyle w:val="P68B1DB1-Normal22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2646F" w14:textId="77777777" w:rsidR="00BD3575" w:rsidRDefault="00DB6AAF">
            <w:pPr>
              <w:pStyle w:val="P68B1DB1-Normal21"/>
              <w:jc w:val="right"/>
            </w:pPr>
            <w:r>
              <w:t>12,779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3D02B" w14:textId="77777777" w:rsidR="00BD3575" w:rsidRDefault="00DB6AAF">
            <w:pPr>
              <w:pStyle w:val="P68B1DB1-Normal22"/>
              <w:jc w:val="right"/>
            </w:pPr>
            <w:r>
              <w:t>30,851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ACEE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FFD9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F1C6D" w14:textId="77777777" w:rsidR="00BD3575" w:rsidRDefault="00DB6AAF">
            <w:pPr>
              <w:pStyle w:val="P68B1DB1-Normal21"/>
              <w:jc w:val="center"/>
            </w:pPr>
            <w:r>
              <w:t>-</w:t>
            </w:r>
          </w:p>
        </w:tc>
      </w:tr>
      <w:tr w:rsidR="00BD3575" w14:paraId="6E8AB6CF" w14:textId="77777777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6E83E3" w14:textId="77777777" w:rsidR="00BD3575" w:rsidRDefault="00DB6AAF">
            <w:pPr>
              <w:pStyle w:val="P68B1DB1-Normal21"/>
            </w:pPr>
            <w:proofErr w:type="spellStart"/>
            <w:r>
              <w:t>Temporary</w:t>
            </w:r>
            <w:proofErr w:type="spellEnd"/>
            <w:r>
              <w:t xml:space="preserve"> </w:t>
            </w:r>
            <w:proofErr w:type="spellStart"/>
            <w:r>
              <w:t>Utilities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Pre-</w:t>
            </w:r>
            <w:proofErr w:type="spellStart"/>
            <w:r>
              <w:t>Commissioning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687D0" w14:textId="77777777" w:rsidR="00BD3575" w:rsidRDefault="00DB6AAF">
            <w:pPr>
              <w:pStyle w:val="P68B1DB1-Normal21"/>
              <w:jc w:val="right"/>
            </w:pPr>
            <w:r>
              <w:t>54,262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0310" w14:textId="77777777" w:rsidR="00BD3575" w:rsidRDefault="00DB6AAF">
            <w:pPr>
              <w:pStyle w:val="P68B1DB1-Normal22"/>
              <w:jc w:val="right"/>
            </w:pPr>
            <w:r>
              <w:t>7,637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3681C" w14:textId="77777777" w:rsidR="00BD3575" w:rsidRDefault="00DB6AAF">
            <w:pPr>
              <w:pStyle w:val="P68B1DB1-Normal21"/>
              <w:jc w:val="right"/>
            </w:pPr>
            <w:r>
              <w:t>21,735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DD836" w14:textId="77777777" w:rsidR="00BD3575" w:rsidRDefault="00DB6AAF">
            <w:pPr>
              <w:pStyle w:val="P68B1DB1-Normal22"/>
              <w:jc w:val="right"/>
            </w:pPr>
            <w:r>
              <w:t>38,178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4186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641B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F4304" w14:textId="77777777" w:rsidR="00BD3575" w:rsidRDefault="00DB6AAF">
            <w:pPr>
              <w:pStyle w:val="P68B1DB1-Normal21"/>
              <w:jc w:val="center"/>
            </w:pPr>
            <w:r>
              <w:t> </w:t>
            </w:r>
          </w:p>
        </w:tc>
      </w:tr>
      <w:tr w:rsidR="00BD3575" w14:paraId="6828E2D0" w14:textId="77777777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4128B" w14:textId="77777777" w:rsidR="00BD3575" w:rsidRDefault="00DB6AAF">
            <w:pPr>
              <w:pStyle w:val="P68B1DB1-Normal21"/>
            </w:pPr>
            <w:r>
              <w:t xml:space="preserve">PMRT </w:t>
            </w:r>
            <w:proofErr w:type="spellStart"/>
            <w:r>
              <w:t>Contingencies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83556" w14:textId="77777777" w:rsidR="00BD3575" w:rsidRDefault="00DB6AAF">
            <w:pPr>
              <w:pStyle w:val="P68B1DB1-Normal21"/>
              <w:jc w:val="right"/>
            </w:pPr>
            <w:r>
              <w:t>261,909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1216" w14:textId="77777777" w:rsidR="00BD3575" w:rsidRDefault="00DB6AAF">
            <w:pPr>
              <w:pStyle w:val="P68B1DB1-Normal22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BAEC" w14:textId="77777777" w:rsidR="00BD3575" w:rsidRDefault="00DB6AAF">
            <w:pPr>
              <w:pStyle w:val="P68B1DB1-Normal21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4BCEA" w14:textId="77777777" w:rsidR="00BD3575" w:rsidRDefault="00DB6AAF">
            <w:pPr>
              <w:pStyle w:val="P68B1DB1-Normal22"/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13EF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70C5" w14:textId="77777777" w:rsidR="00BD3575" w:rsidRDefault="00DB6AAF">
            <w:pPr>
              <w:pStyle w:val="P68B1DB1-Normal21"/>
              <w:jc w:val="center"/>
            </w:pPr>
            <w:r>
              <w:t xml:space="preserve">LOE 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81135" w14:textId="77777777" w:rsidR="00BD3575" w:rsidRDefault="00DB6AAF">
            <w:pPr>
              <w:pStyle w:val="P68B1DB1-Normal21"/>
              <w:jc w:val="center"/>
            </w:pPr>
            <w:r>
              <w:t>-</w:t>
            </w:r>
          </w:p>
        </w:tc>
      </w:tr>
      <w:tr w:rsidR="00BD3575" w14:paraId="289EE161" w14:textId="77777777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3922720" w14:textId="77777777" w:rsidR="00BD3575" w:rsidRDefault="00DB6AAF">
            <w:pPr>
              <w:pStyle w:val="P68B1DB1-Normal20"/>
              <w:jc w:val="both"/>
            </w:pPr>
            <w:proofErr w:type="gramStart"/>
            <w:r>
              <w:t>TOTAL</w:t>
            </w:r>
            <w:proofErr w:type="gramEnd"/>
            <w:r>
              <w:t xml:space="preserve"> PM</w:t>
            </w:r>
            <w:r>
              <w:t>RT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8F396C6" w14:textId="77777777" w:rsidR="00BD3575" w:rsidRDefault="00DB6AAF">
            <w:pPr>
              <w:pStyle w:val="P68B1DB1-Normal20"/>
              <w:jc w:val="right"/>
            </w:pPr>
            <w:r>
              <w:t>19'359,206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3EBDA7B" w14:textId="77777777" w:rsidR="00BD3575" w:rsidRDefault="00DB6AAF">
            <w:pPr>
              <w:pStyle w:val="P68B1DB1-Normal20"/>
              <w:jc w:val="right"/>
            </w:pPr>
            <w:r>
              <w:t>1'213,442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A299580" w14:textId="77777777" w:rsidR="00BD3575" w:rsidRDefault="00DB6AAF">
            <w:pPr>
              <w:pStyle w:val="P68B1DB1-Normal20"/>
              <w:jc w:val="right"/>
            </w:pPr>
            <w:r>
              <w:t>2'683,980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85909CB" w14:textId="77777777" w:rsidR="00BD3575" w:rsidRDefault="00DB6AAF">
            <w:pPr>
              <w:pStyle w:val="P68B1DB1-Normal20"/>
              <w:jc w:val="right"/>
            </w:pPr>
            <w:r>
              <w:t>16'785,747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AD996BA" w14:textId="77777777" w:rsidR="00BD3575" w:rsidRDefault="00DB6AAF">
            <w:pPr>
              <w:pStyle w:val="P68B1DB1-Normal20"/>
              <w:jc w:val="center"/>
            </w:pPr>
            <w:r>
              <w:t>2.53%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8781937" w14:textId="77777777" w:rsidR="00BD3575" w:rsidRDefault="00DB6AAF">
            <w:pPr>
              <w:pStyle w:val="P68B1DB1-Normal20"/>
              <w:jc w:val="center"/>
            </w:pPr>
            <w:r>
              <w:t>4.50%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26C1CF0" w14:textId="77777777" w:rsidR="00BD3575" w:rsidRDefault="00DB6AAF">
            <w:pPr>
              <w:pStyle w:val="P68B1DB1-Normal20"/>
              <w:jc w:val="center"/>
            </w:pPr>
            <w:r>
              <w:t>95.27%</w:t>
            </w:r>
          </w:p>
        </w:tc>
      </w:tr>
    </w:tbl>
    <w:p w14:paraId="723916EF" w14:textId="77777777" w:rsidR="00BD3575" w:rsidRDefault="00BD3575">
      <w:pPr>
        <w:spacing w:after="120"/>
        <w:jc w:val="both"/>
        <w:rPr>
          <w:rFonts w:ascii="Arial" w:hAnsi="Arial" w:cs="Arial"/>
          <w:i/>
          <w:sz w:val="6"/>
        </w:rPr>
      </w:pPr>
    </w:p>
    <w:p w14:paraId="1331C0B8" w14:textId="77777777" w:rsidR="00BD3575" w:rsidRDefault="00DB6AAF">
      <w:pPr>
        <w:pStyle w:val="P68B1DB1-Normal23"/>
        <w:spacing w:after="120"/>
        <w:jc w:val="both"/>
      </w:pPr>
      <w:bookmarkStart w:id="1" w:name="_Hlk78806404"/>
      <w:r>
        <w:footnoteRef/>
      </w:r>
      <w:proofErr w:type="spellStart"/>
      <w:r>
        <w:t>On</w:t>
      </w:r>
      <w:proofErr w:type="spellEnd"/>
      <w:r>
        <w:t xml:space="preserve"> 02.05.2021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014-2021-PP,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PMRT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. </w:t>
      </w:r>
    </w:p>
    <w:p w14:paraId="76BB09EA" w14:textId="77777777" w:rsidR="00BD3575" w:rsidRDefault="00DB6AAF">
      <w:pPr>
        <w:pStyle w:val="P68B1DB1-Normal23"/>
        <w:spacing w:after="120"/>
        <w:jc w:val="both"/>
      </w:pPr>
      <w:r>
        <w:rPr>
          <w:vertAlign w:val="superscript"/>
        </w:rPr>
        <w:t>2</w:t>
      </w:r>
      <w:r>
        <w:t xml:space="preserve">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Breakdown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(WBS)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Project. </w:t>
      </w:r>
    </w:p>
    <w:p w14:paraId="00784342" w14:textId="77777777" w:rsidR="00BD3575" w:rsidRDefault="00DB6AAF">
      <w:pPr>
        <w:pStyle w:val="P68B1DB1-Normal23"/>
        <w:spacing w:after="120"/>
        <w:jc w:val="both"/>
      </w:pPr>
      <w:r>
        <w:rPr>
          <w:vertAlign w:val="superscript"/>
        </w:rPr>
        <w:t xml:space="preserve">3 </w:t>
      </w:r>
      <w:r>
        <w:t>LOE (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Effort</w:t>
      </w:r>
      <w:proofErr w:type="spellEnd"/>
      <w:r>
        <w:t xml:space="preserve">):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produce final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measured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time,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generate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are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Project.</w:t>
      </w:r>
    </w:p>
    <w:p w14:paraId="20B8E829" w14:textId="77777777" w:rsidR="00BD3575" w:rsidRDefault="00DB6AAF">
      <w:pPr>
        <w:pStyle w:val="P68B1DB1-Normal23"/>
        <w:spacing w:after="120"/>
        <w:jc w:val="both"/>
      </w:pPr>
      <w:r>
        <w:t xml:space="preserve">(*)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Cobra's</w:t>
      </w:r>
      <w:proofErr w:type="spellEnd"/>
      <w:r>
        <w:t xml:space="preserve">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advance</w:t>
      </w:r>
      <w:proofErr w:type="spellEnd"/>
      <w:r>
        <w:t>.</w:t>
      </w:r>
    </w:p>
    <w:p w14:paraId="70AF34AD" w14:textId="77777777" w:rsidR="00BD3575" w:rsidRDefault="00DB6AAF">
      <w:pPr>
        <w:pStyle w:val="P68B1DB1-Normal23"/>
        <w:spacing w:after="120"/>
        <w:jc w:val="both"/>
        <w:rPr>
          <w:b/>
        </w:rPr>
      </w:pPr>
      <w:r>
        <w:t xml:space="preserve">(**) </w:t>
      </w:r>
      <w:proofErr w:type="spellStart"/>
      <w:r>
        <w:t>These</w:t>
      </w:r>
      <w:proofErr w:type="spellEnd"/>
      <w:r>
        <w:t xml:space="preserve"> data </w:t>
      </w:r>
      <w:proofErr w:type="spellStart"/>
      <w:r>
        <w:t>will</w:t>
      </w:r>
      <w:proofErr w:type="spellEnd"/>
      <w:r>
        <w:t xml:space="preserve"> </w:t>
      </w:r>
      <w:r>
        <w:t xml:space="preserve">be </w:t>
      </w:r>
      <w:proofErr w:type="spellStart"/>
      <w:r>
        <w:t>reported</w:t>
      </w:r>
      <w:proofErr w:type="spellEnd"/>
      <w:r>
        <w:t xml:space="preserve"> once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contractor</w:t>
      </w:r>
      <w:proofErr w:type="spellEnd"/>
      <w:r>
        <w:t xml:space="preserve"> in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executing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contractual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>.</w:t>
      </w:r>
    </w:p>
    <w:bookmarkEnd w:id="1"/>
    <w:p w14:paraId="0C84B6A4" w14:textId="77777777" w:rsidR="00BD3575" w:rsidRDefault="00DB6AAF">
      <w:pPr>
        <w:pStyle w:val="P68B1DB1-Normal1"/>
        <w:numPr>
          <w:ilvl w:val="0"/>
          <w:numId w:val="8"/>
        </w:numPr>
        <w:spacing w:before="120" w:after="120"/>
        <w:ind w:left="284" w:hanging="284"/>
      </w:pPr>
      <w:r>
        <w:rPr>
          <w:highlight w:val="yellow"/>
        </w:rPr>
        <w:br w:type="page"/>
      </w:r>
      <w:proofErr w:type="spellStart"/>
      <w:r>
        <w:lastRenderedPageBreak/>
        <w:t>Situation</w:t>
      </w:r>
      <w:proofErr w:type="spellEnd"/>
      <w:r>
        <w:t xml:space="preserve"> as </w:t>
      </w:r>
      <w:proofErr w:type="spellStart"/>
      <w:r>
        <w:t>of</w:t>
      </w:r>
      <w:proofErr w:type="spellEnd"/>
      <w:r>
        <w:t xml:space="preserve"> 06.30.2021</w:t>
      </w:r>
    </w:p>
    <w:p w14:paraId="5A5F6F18" w14:textId="77777777" w:rsidR="00BD3575" w:rsidRDefault="00DB6AAF">
      <w:pPr>
        <w:pStyle w:val="P68B1DB1-Normal2"/>
        <w:numPr>
          <w:ilvl w:val="0"/>
          <w:numId w:val="2"/>
        </w:numPr>
        <w:spacing w:before="120" w:after="120" w:line="276" w:lineRule="auto"/>
        <w:ind w:left="567" w:hanging="283"/>
        <w:jc w:val="both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03.16.2020 and 06.14.2020,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suspended,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Emergency</w:t>
      </w:r>
      <w:proofErr w:type="spellEnd"/>
      <w:r>
        <w:t xml:space="preserve"> as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stop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COVID- 19, </w:t>
      </w:r>
      <w:proofErr w:type="spellStart"/>
      <w:r>
        <w:t>maintaining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industrial safety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 and </w:t>
      </w:r>
      <w:proofErr w:type="spellStart"/>
      <w:r>
        <w:t>equipment</w:t>
      </w:r>
      <w:proofErr w:type="spellEnd"/>
      <w:r>
        <w:t xml:space="preserve">. In June,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progressively</w:t>
      </w:r>
      <w:proofErr w:type="spellEnd"/>
      <w:r>
        <w:t xml:space="preserve"> </w:t>
      </w:r>
      <w:proofErr w:type="spellStart"/>
      <w:r>
        <w:t>restarted</w:t>
      </w:r>
      <w:proofErr w:type="spellEnd"/>
      <w:r>
        <w:t xml:space="preserve">, </w:t>
      </w:r>
      <w:proofErr w:type="spellStart"/>
      <w:r>
        <w:t>complying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protocols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and </w:t>
      </w:r>
      <w:proofErr w:type="spellStart"/>
      <w:r>
        <w:t>established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Project's</w:t>
      </w:r>
      <w:proofErr w:type="spellEnd"/>
      <w:r>
        <w:t xml:space="preserve"> Plan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Surveillance</w:t>
      </w:r>
      <w:proofErr w:type="spellEnd"/>
      <w:r>
        <w:t xml:space="preserve">, </w:t>
      </w:r>
      <w:proofErr w:type="spellStart"/>
      <w:r>
        <w:t>Prevention</w:t>
      </w:r>
      <w:proofErr w:type="spellEnd"/>
      <w:r>
        <w:t xml:space="preserve"> and Control </w:t>
      </w:r>
      <w:proofErr w:type="spellStart"/>
      <w:r>
        <w:t>of</w:t>
      </w:r>
      <w:proofErr w:type="spellEnd"/>
      <w:r>
        <w:t xml:space="preserve"> COVID-19.</w:t>
      </w:r>
    </w:p>
    <w:p w14:paraId="1A35CA6E" w14:textId="77777777" w:rsidR="00BD3575" w:rsidRDefault="00DB6AAF">
      <w:pPr>
        <w:pStyle w:val="P68B1DB1-Normal2"/>
        <w:numPr>
          <w:ilvl w:val="0"/>
          <w:numId w:val="2"/>
        </w:numPr>
        <w:spacing w:before="120" w:after="120" w:line="276" w:lineRule="auto"/>
        <w:ind w:left="567" w:hanging="283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Técnicas Reunidas and Cobra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impacts</w:t>
      </w:r>
      <w:proofErr w:type="spellEnd"/>
      <w:r>
        <w:t xml:space="preserve"> </w:t>
      </w:r>
      <w:proofErr w:type="spellStart"/>
      <w:r>
        <w:t>o</w:t>
      </w:r>
      <w:r>
        <w:t>n</w:t>
      </w:r>
      <w:proofErr w:type="spellEnd"/>
      <w:r>
        <w:t xml:space="preserve"> time and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originated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COVID-19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2021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managed</w:t>
      </w:r>
      <w:proofErr w:type="spellEnd"/>
      <w:r>
        <w:t>.</w:t>
      </w:r>
    </w:p>
    <w:p w14:paraId="1CA3A838" w14:textId="77777777" w:rsidR="00BD3575" w:rsidRDefault="00DB6AAF">
      <w:pPr>
        <w:pStyle w:val="P68B1DB1-Normal2"/>
        <w:numPr>
          <w:ilvl w:val="0"/>
          <w:numId w:val="2"/>
        </w:numPr>
        <w:spacing w:before="120" w:after="120" w:line="276" w:lineRule="auto"/>
        <w:ind w:left="567" w:hanging="283"/>
        <w:jc w:val="both"/>
      </w:pPr>
      <w:proofErr w:type="spellStart"/>
      <w:r>
        <w:t>To</w:t>
      </w:r>
      <w:proofErr w:type="spellEnd"/>
      <w:r>
        <w:t xml:space="preserve"> date,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3 Rev. </w:t>
      </w:r>
      <w:proofErr w:type="gramStart"/>
      <w:r>
        <w:t>Master</w:t>
      </w:r>
      <w:proofErr w:type="gramEnd"/>
      <w:r>
        <w:t xml:space="preserve"> Schedule </w:t>
      </w:r>
      <w:proofErr w:type="spellStart"/>
      <w:r>
        <w:t>is</w:t>
      </w:r>
      <w:proofErr w:type="spellEnd"/>
      <w:r>
        <w:t xml:space="preserve"> </w:t>
      </w:r>
      <w:proofErr w:type="spellStart"/>
      <w:r>
        <w:t>technically</w:t>
      </w:r>
      <w:proofErr w:type="spellEnd"/>
      <w:r>
        <w:t xml:space="preserve"> accepted.9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Técnicas Reunidas and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</w:t>
      </w:r>
      <w:r>
        <w:t>e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PETROPERÚ.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Auxiliary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estimate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Cía. Supervisora CPT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modification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EPC Cobra-SCL </w:t>
      </w:r>
      <w:proofErr w:type="spellStart"/>
      <w:r>
        <w:t>Contractor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updated</w:t>
      </w:r>
      <w:proofErr w:type="spellEnd"/>
      <w:r>
        <w:t xml:space="preserve"> </w:t>
      </w:r>
      <w:proofErr w:type="gramStart"/>
      <w:r>
        <w:t>Master</w:t>
      </w:r>
      <w:proofErr w:type="gramEnd"/>
      <w:r>
        <w:t xml:space="preserve"> Schedule.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time,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rev.</w:t>
      </w:r>
      <w:proofErr w:type="spellEnd"/>
      <w:r>
        <w:t xml:space="preserve"> 10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Técnicas Reunidas.</w:t>
      </w:r>
    </w:p>
    <w:p w14:paraId="4D79200B" w14:textId="77777777" w:rsidR="00BD3575" w:rsidRDefault="00DB6AAF">
      <w:pPr>
        <w:pStyle w:val="P68B1DB1-Normal2"/>
        <w:numPr>
          <w:ilvl w:val="0"/>
          <w:numId w:val="2"/>
        </w:numPr>
        <w:spacing w:before="120" w:after="120" w:line="276" w:lineRule="auto"/>
        <w:ind w:left="567" w:hanging="283"/>
        <w:jc w:val="both"/>
      </w:pPr>
      <w:proofErr w:type="spellStart"/>
      <w:r>
        <w:t>The</w:t>
      </w:r>
      <w:proofErr w:type="spellEnd"/>
      <w:r>
        <w:t xml:space="preserve"> EPC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Processing </w:t>
      </w:r>
      <w:proofErr w:type="spellStart"/>
      <w:r>
        <w:t>Units</w:t>
      </w:r>
      <w:proofErr w:type="spellEnd"/>
      <w:r>
        <w:t xml:space="preserve">, in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Técnicas Reunidas (TR),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97.43%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advance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component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14:paraId="3ACF2C93" w14:textId="77777777" w:rsidR="00BD3575" w:rsidRDefault="00DB6AAF">
      <w:pPr>
        <w:pStyle w:val="P68B1DB1-ListParagraph17"/>
        <w:numPr>
          <w:ilvl w:val="1"/>
          <w:numId w:val="9"/>
        </w:numPr>
        <w:spacing w:before="120" w:after="120" w:line="276" w:lineRule="auto"/>
        <w:ind w:left="709" w:hanging="142"/>
        <w:contextualSpacing w:val="0"/>
        <w:jc w:val="both"/>
      </w:pPr>
      <w:proofErr w:type="spellStart"/>
      <w:r>
        <w:t>Engineering</w:t>
      </w:r>
      <w:proofErr w:type="spellEnd"/>
      <w:r>
        <w:t>: 100% (</w:t>
      </w:r>
      <w:proofErr w:type="spellStart"/>
      <w:r>
        <w:t>certified</w:t>
      </w:r>
      <w:proofErr w:type="spellEnd"/>
      <w:r>
        <w:t>).</w:t>
      </w:r>
    </w:p>
    <w:p w14:paraId="38EDD06E" w14:textId="77777777" w:rsidR="00BD3575" w:rsidRDefault="00DB6AAF">
      <w:pPr>
        <w:pStyle w:val="P68B1DB1-ListParagraph17"/>
        <w:numPr>
          <w:ilvl w:val="1"/>
          <w:numId w:val="9"/>
        </w:numPr>
        <w:spacing w:before="120" w:after="120" w:line="276" w:lineRule="auto"/>
        <w:ind w:left="709" w:hanging="142"/>
        <w:contextualSpacing w:val="0"/>
        <w:jc w:val="both"/>
      </w:pPr>
      <w:proofErr w:type="spellStart"/>
      <w:r>
        <w:t>P</w:t>
      </w:r>
      <w:r>
        <w:t>rocurement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>: 99.97%.</w:t>
      </w:r>
    </w:p>
    <w:p w14:paraId="1661DB50" w14:textId="77777777" w:rsidR="00BD3575" w:rsidRDefault="00DB6AAF">
      <w:pPr>
        <w:pStyle w:val="P68B1DB1-ListParagraph17"/>
        <w:numPr>
          <w:ilvl w:val="1"/>
          <w:numId w:val="9"/>
        </w:numPr>
        <w:spacing w:before="120" w:after="120" w:line="276" w:lineRule="auto"/>
        <w:ind w:left="709" w:hanging="142"/>
        <w:contextualSpacing w:val="0"/>
        <w:jc w:val="both"/>
      </w:pPr>
      <w:proofErr w:type="spellStart"/>
      <w:r>
        <w:t>Construction</w:t>
      </w:r>
      <w:proofErr w:type="spellEnd"/>
      <w:r>
        <w:t>: 97.54%.</w:t>
      </w:r>
    </w:p>
    <w:p w14:paraId="43274D40" w14:textId="77777777" w:rsidR="00BD3575" w:rsidRDefault="00DB6AAF">
      <w:pPr>
        <w:pStyle w:val="P68B1DB1-Normal2"/>
        <w:numPr>
          <w:ilvl w:val="0"/>
          <w:numId w:val="2"/>
        </w:numPr>
        <w:spacing w:before="120" w:after="120" w:line="276" w:lineRule="auto"/>
        <w:ind w:left="567" w:hanging="283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EPC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Auxiliary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and </w:t>
      </w:r>
      <w:proofErr w:type="spellStart"/>
      <w:r>
        <w:t>Complementary</w:t>
      </w:r>
      <w:proofErr w:type="spellEnd"/>
      <w:r>
        <w:t xml:space="preserve"> Works, in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Cobra SCL-UA &amp; TC </w:t>
      </w:r>
      <w:proofErr w:type="spellStart"/>
      <w:r>
        <w:t>Consortium</w:t>
      </w:r>
      <w:proofErr w:type="spellEnd"/>
      <w:r>
        <w:t xml:space="preserve">,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88.05%,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component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as </w:t>
      </w:r>
      <w:proofErr w:type="spellStart"/>
      <w:r>
        <w:t>foll</w:t>
      </w:r>
      <w:r>
        <w:t>ows</w:t>
      </w:r>
      <w:proofErr w:type="spellEnd"/>
      <w:r>
        <w:t>:</w:t>
      </w:r>
    </w:p>
    <w:p w14:paraId="55CB6B23" w14:textId="77777777" w:rsidR="00BD3575" w:rsidRDefault="00DB6AAF">
      <w:pPr>
        <w:pStyle w:val="P68B1DB1-ListParagraph17"/>
        <w:numPr>
          <w:ilvl w:val="1"/>
          <w:numId w:val="9"/>
        </w:numPr>
        <w:spacing w:before="120" w:after="120" w:line="276" w:lineRule="auto"/>
        <w:ind w:left="709" w:hanging="142"/>
        <w:contextualSpacing w:val="0"/>
        <w:jc w:val="both"/>
      </w:pPr>
      <w:proofErr w:type="spellStart"/>
      <w:r>
        <w:t>Engineering</w:t>
      </w:r>
      <w:proofErr w:type="spellEnd"/>
      <w:r>
        <w:t>: 98.33%.</w:t>
      </w:r>
    </w:p>
    <w:p w14:paraId="77DA0437" w14:textId="77777777" w:rsidR="00BD3575" w:rsidRDefault="00DB6AAF">
      <w:pPr>
        <w:pStyle w:val="P68B1DB1-ListParagraph17"/>
        <w:numPr>
          <w:ilvl w:val="1"/>
          <w:numId w:val="9"/>
        </w:numPr>
        <w:spacing w:before="120" w:after="120" w:line="276" w:lineRule="auto"/>
        <w:ind w:left="709" w:hanging="142"/>
        <w:contextualSpacing w:val="0"/>
        <w:jc w:val="both"/>
      </w:pPr>
      <w:proofErr w:type="spellStart"/>
      <w:r>
        <w:t>Procurement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>: 94.36%.</w:t>
      </w:r>
    </w:p>
    <w:p w14:paraId="01E09E68" w14:textId="77777777" w:rsidR="00BD3575" w:rsidRDefault="00DB6AAF">
      <w:pPr>
        <w:pStyle w:val="P68B1DB1-ListParagraph17"/>
        <w:numPr>
          <w:ilvl w:val="1"/>
          <w:numId w:val="9"/>
        </w:numPr>
        <w:spacing w:before="120" w:after="120" w:line="276" w:lineRule="auto"/>
        <w:ind w:left="709" w:hanging="142"/>
        <w:contextualSpacing w:val="0"/>
        <w:jc w:val="both"/>
      </w:pPr>
      <w:proofErr w:type="spellStart"/>
      <w:r>
        <w:t>Construction</w:t>
      </w:r>
      <w:proofErr w:type="spellEnd"/>
      <w:r>
        <w:t>: 84.84%.</w:t>
      </w:r>
    </w:p>
    <w:p w14:paraId="2129A8F7" w14:textId="77777777" w:rsidR="00BD3575" w:rsidRDefault="00DB6AAF">
      <w:pPr>
        <w:pStyle w:val="P68B1DB1-Normal2"/>
        <w:numPr>
          <w:ilvl w:val="0"/>
          <w:numId w:val="2"/>
        </w:numPr>
        <w:spacing w:before="120" w:after="120" w:line="276" w:lineRule="auto"/>
        <w:ind w:left="567" w:hanging="283"/>
        <w:jc w:val="both"/>
      </w:pPr>
      <w:r>
        <w:t xml:space="preserve">Social </w:t>
      </w:r>
      <w:proofErr w:type="spellStart"/>
      <w:r>
        <w:t>Responsibility</w:t>
      </w:r>
      <w:proofErr w:type="spellEnd"/>
      <w:r>
        <w:t xml:space="preserve"> and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Relations</w:t>
      </w:r>
      <w:proofErr w:type="spellEnd"/>
    </w:p>
    <w:p w14:paraId="5643D383" w14:textId="77777777" w:rsidR="00BD3575" w:rsidRDefault="00DB6AAF">
      <w:pPr>
        <w:pStyle w:val="P68B1DB1-ListParagraph17"/>
        <w:numPr>
          <w:ilvl w:val="1"/>
          <w:numId w:val="9"/>
        </w:numPr>
        <w:spacing w:before="120" w:after="120" w:line="276" w:lineRule="auto"/>
        <w:ind w:left="709" w:hanging="142"/>
        <w:contextualSpacing w:val="0"/>
        <w:jc w:val="both"/>
      </w:pPr>
      <w:r>
        <w:t xml:space="preserve">As </w:t>
      </w:r>
      <w:proofErr w:type="spellStart"/>
      <w:r>
        <w:t>of</w:t>
      </w:r>
      <w:proofErr w:type="spellEnd"/>
      <w:r>
        <w:t xml:space="preserve"> 06.29.2021, </w:t>
      </w:r>
      <w:proofErr w:type="spellStart"/>
      <w:r>
        <w:t>the</w:t>
      </w:r>
      <w:proofErr w:type="spellEnd"/>
      <w:r>
        <w:t xml:space="preserve"> total </w:t>
      </w:r>
      <w:proofErr w:type="spellStart"/>
      <w:r>
        <w:t>workforce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6,867 </w:t>
      </w:r>
      <w:proofErr w:type="spellStart"/>
      <w:r>
        <w:t>jobs</w:t>
      </w:r>
      <w:proofErr w:type="spellEnd"/>
      <w:r>
        <w:t xml:space="preserve">; local </w:t>
      </w:r>
      <w:proofErr w:type="spellStart"/>
      <w:r>
        <w:t>unskilled</w:t>
      </w:r>
      <w:proofErr w:type="spellEnd"/>
      <w:r>
        <w:t xml:space="preserve"> labor </w:t>
      </w:r>
      <w:proofErr w:type="spellStart"/>
      <w:r>
        <w:t>had</w:t>
      </w:r>
      <w:proofErr w:type="spellEnd"/>
      <w:r>
        <w:t xml:space="preserve"> a 96% share (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total </w:t>
      </w:r>
      <w:proofErr w:type="spellStart"/>
      <w:r>
        <w:t>of</w:t>
      </w:r>
      <w:proofErr w:type="spellEnd"/>
      <w:r>
        <w:t xml:space="preserve"> 973 </w:t>
      </w:r>
      <w:proofErr w:type="spellStart"/>
      <w:r>
        <w:t>unskilled</w:t>
      </w:r>
      <w:proofErr w:type="spellEnd"/>
      <w:r>
        <w:t xml:space="preserve">), </w:t>
      </w:r>
      <w:proofErr w:type="spellStart"/>
      <w:r>
        <w:t>exceeding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minimum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EIS (70%). </w:t>
      </w:r>
      <w:proofErr w:type="spellStart"/>
      <w:r>
        <w:t>Meanwhile</w:t>
      </w:r>
      <w:proofErr w:type="spellEnd"/>
      <w:r>
        <w:t xml:space="preserve">, local </w:t>
      </w:r>
      <w:proofErr w:type="spellStart"/>
      <w:r>
        <w:t>skilled</w:t>
      </w:r>
      <w:proofErr w:type="spellEnd"/>
      <w:r>
        <w:t xml:space="preserve"> labor </w:t>
      </w:r>
      <w:proofErr w:type="spellStart"/>
      <w:r>
        <w:t>had</w:t>
      </w:r>
      <w:proofErr w:type="spellEnd"/>
      <w:r>
        <w:t xml:space="preserve"> a 44% share (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total </w:t>
      </w:r>
      <w:proofErr w:type="spellStart"/>
      <w:r>
        <w:t>of</w:t>
      </w:r>
      <w:proofErr w:type="spellEnd"/>
      <w:r>
        <w:t xml:space="preserve"> 5,894 </w:t>
      </w:r>
      <w:proofErr w:type="spellStart"/>
      <w:r>
        <w:t>skill</w:t>
      </w:r>
      <w:r>
        <w:t>ed</w:t>
      </w:r>
      <w:proofErr w:type="spellEnd"/>
      <w:r>
        <w:t>).</w:t>
      </w:r>
    </w:p>
    <w:p w14:paraId="031639E3" w14:textId="77777777" w:rsidR="00BD3575" w:rsidRDefault="00BD3575">
      <w:pPr>
        <w:spacing w:before="120" w:after="120" w:line="276" w:lineRule="auto"/>
        <w:ind w:left="567"/>
        <w:jc w:val="both"/>
        <w:rPr>
          <w:rFonts w:ascii="Arial" w:hAnsi="Arial" w:cs="Arial"/>
          <w:sz w:val="22"/>
        </w:rPr>
      </w:pPr>
    </w:p>
    <w:sectPr w:rsidR="00BD3575">
      <w:footerReference w:type="default" r:id="rId13"/>
      <w:type w:val="continuous"/>
      <w:pgSz w:w="11907" w:h="16840" w:code="9"/>
      <w:pgMar w:top="964" w:right="1701" w:bottom="426" w:left="1247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53E70" w14:textId="77777777" w:rsidR="00DB6AAF" w:rsidRDefault="00DB6AAF">
      <w:r>
        <w:separator/>
      </w:r>
    </w:p>
  </w:endnote>
  <w:endnote w:type="continuationSeparator" w:id="0">
    <w:p w14:paraId="01FE0BFB" w14:textId="77777777" w:rsidR="00DB6AAF" w:rsidRDefault="00DB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EBAC" w14:textId="3FAE9AC4" w:rsidR="00BD3575" w:rsidRDefault="00DB6AAF">
    <w:pPr>
      <w:pStyle w:val="P68B1DB1-Footer25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DD7BB33" wp14:editId="66C21BBA">
          <wp:simplePos x="0" y="0"/>
          <wp:positionH relativeFrom="column">
            <wp:posOffset>3589655</wp:posOffset>
          </wp:positionH>
          <wp:positionV relativeFrom="paragraph">
            <wp:posOffset>-1012825</wp:posOffset>
          </wp:positionV>
          <wp:extent cx="2562225" cy="914400"/>
          <wp:effectExtent l="0" t="0" r="1270" b="3175"/>
          <wp:wrapNone/>
          <wp:docPr id="1" name="Rectangl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 noChangeArrowheads="1"/>
                </wps:cNvSpPr>
                <wps:spPr bwMode="auto">
                  <a:xfrm>
                    <a:off x="0" y="0"/>
                    <a:ext cx="256222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wps:spPr>
                <wps:bodyPr rot="0" vert="horz" wrap="square" lIns="91440" tIns="45720" rIns="91440" bIns="45720" anchor="t" anchorCtr="0" upright="1">
                  <a:noAutofit/>
                </wps:bodyPr>
              </wps:wsp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8357803" wp14:editId="7E7851B9">
          <wp:simplePos x="0" y="0"/>
          <wp:positionH relativeFrom="page">
            <wp:posOffset>-295275</wp:posOffset>
          </wp:positionH>
          <wp:positionV relativeFrom="page">
            <wp:posOffset>9594850</wp:posOffset>
          </wp:positionV>
          <wp:extent cx="7591425" cy="1106170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106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C7EF" w14:textId="77777777" w:rsidR="00BD3575" w:rsidRDefault="00BD357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CED78" w14:textId="77777777" w:rsidR="00DB6AAF" w:rsidRDefault="00DB6AAF">
      <w:r>
        <w:separator/>
      </w:r>
    </w:p>
  </w:footnote>
  <w:footnote w:type="continuationSeparator" w:id="0">
    <w:p w14:paraId="70BA6422" w14:textId="77777777" w:rsidR="00DB6AAF" w:rsidRDefault="00DB6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54C77" w14:textId="2859624B" w:rsidR="00BD3575" w:rsidRDefault="00DB6AAF">
    <w:pPr>
      <w:pStyle w:val="P68B1DB1-Header24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0B1535C" wp14:editId="484208D3">
          <wp:simplePos x="0" y="0"/>
          <wp:positionH relativeFrom="page">
            <wp:posOffset>-285750</wp:posOffset>
          </wp:positionH>
          <wp:positionV relativeFrom="page">
            <wp:posOffset>-304800</wp:posOffset>
          </wp:positionV>
          <wp:extent cx="7947660" cy="800100"/>
          <wp:effectExtent l="0" t="0" r="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66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3CA"/>
    <w:multiLevelType w:val="hybridMultilevel"/>
    <w:tmpl w:val="35DEDF70"/>
    <w:lvl w:ilvl="0" w:tplc="2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985626"/>
    <w:multiLevelType w:val="hybridMultilevel"/>
    <w:tmpl w:val="A92A1B1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675A6"/>
    <w:multiLevelType w:val="hybridMultilevel"/>
    <w:tmpl w:val="47366410"/>
    <w:lvl w:ilvl="0" w:tplc="28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678A"/>
    <w:multiLevelType w:val="hybridMultilevel"/>
    <w:tmpl w:val="C8C00F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u w:val="none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24800"/>
    <w:multiLevelType w:val="hybridMultilevel"/>
    <w:tmpl w:val="EFF66940"/>
    <w:lvl w:ilvl="0" w:tplc="28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E7C80"/>
    <w:multiLevelType w:val="hybridMultilevel"/>
    <w:tmpl w:val="FE2ED312"/>
    <w:lvl w:ilvl="0" w:tplc="F45650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744BC"/>
    <w:multiLevelType w:val="hybridMultilevel"/>
    <w:tmpl w:val="59B03AF0"/>
    <w:lvl w:ilvl="0" w:tplc="80F23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52D02"/>
    <w:multiLevelType w:val="hybridMultilevel"/>
    <w:tmpl w:val="B070695A"/>
    <w:lvl w:ilvl="0" w:tplc="1D70D5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047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72C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67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01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061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109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48F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CBC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B3949F1"/>
    <w:multiLevelType w:val="hybridMultilevel"/>
    <w:tmpl w:val="D5665F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520B4"/>
    <w:multiLevelType w:val="hybridMultilevel"/>
    <w:tmpl w:val="0D6C36EC"/>
    <w:lvl w:ilvl="0" w:tplc="C14E7C7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B87D68"/>
    <w:multiLevelType w:val="hybridMultilevel"/>
    <w:tmpl w:val="9D0657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12DE1"/>
    <w:multiLevelType w:val="hybridMultilevel"/>
    <w:tmpl w:val="0D6C36EC"/>
    <w:lvl w:ilvl="0" w:tplc="C14E7C7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66659D"/>
    <w:multiLevelType w:val="hybridMultilevel"/>
    <w:tmpl w:val="0D6C36EC"/>
    <w:lvl w:ilvl="0" w:tplc="C14E7C7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B0764F"/>
    <w:multiLevelType w:val="hybridMultilevel"/>
    <w:tmpl w:val="2E7819F2"/>
    <w:lvl w:ilvl="0" w:tplc="B096E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006A6"/>
    <w:multiLevelType w:val="hybridMultilevel"/>
    <w:tmpl w:val="0D6C36EC"/>
    <w:lvl w:ilvl="0" w:tplc="C14E7C7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DBD0059"/>
    <w:multiLevelType w:val="hybridMultilevel"/>
    <w:tmpl w:val="20C8D926"/>
    <w:lvl w:ilvl="0" w:tplc="174C1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888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4CA4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0A2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0C5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2A3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543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100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548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F967EB7"/>
    <w:multiLevelType w:val="hybridMultilevel"/>
    <w:tmpl w:val="238E4CCC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28509F3"/>
    <w:multiLevelType w:val="hybridMultilevel"/>
    <w:tmpl w:val="53B49DAA"/>
    <w:lvl w:ilvl="0" w:tplc="B0E49A0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C28A0"/>
    <w:multiLevelType w:val="hybridMultilevel"/>
    <w:tmpl w:val="76E80FB2"/>
    <w:lvl w:ilvl="0" w:tplc="0C0A0001">
      <w:start w:val="1"/>
      <w:numFmt w:val="bullet"/>
      <w:lvlText w:val=""/>
      <w:lvlJc w:val="left"/>
      <w:pPr>
        <w:ind w:left="900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97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3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4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4767" w:hanging="360"/>
      </w:pPr>
      <w:rPr>
        <w:rFonts w:ascii="Wingdings" w:hAnsi="Wingdings" w:hint="default"/>
      </w:rPr>
    </w:lvl>
  </w:abstractNum>
  <w:abstractNum w:abstractNumId="19" w15:restartNumberingAfterBreak="0">
    <w:nsid w:val="5A2932CD"/>
    <w:multiLevelType w:val="hybridMultilevel"/>
    <w:tmpl w:val="50FC54C8"/>
    <w:lvl w:ilvl="0" w:tplc="B5C86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735D0"/>
    <w:multiLevelType w:val="hybridMultilevel"/>
    <w:tmpl w:val="5F1C4C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A85E9C"/>
    <w:multiLevelType w:val="hybridMultilevel"/>
    <w:tmpl w:val="7C60D1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000EE"/>
    <w:multiLevelType w:val="hybridMultilevel"/>
    <w:tmpl w:val="A77CC9F0"/>
    <w:lvl w:ilvl="0" w:tplc="28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07360"/>
    <w:multiLevelType w:val="hybridMultilevel"/>
    <w:tmpl w:val="07B291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FF49AB"/>
    <w:multiLevelType w:val="hybridMultilevel"/>
    <w:tmpl w:val="CD7484C8"/>
    <w:lvl w:ilvl="0" w:tplc="B5C862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effect w:val="none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6834382"/>
    <w:multiLevelType w:val="hybridMultilevel"/>
    <w:tmpl w:val="06A691C0"/>
    <w:lvl w:ilvl="0" w:tplc="4706311A">
      <w:numFmt w:val="bullet"/>
      <w:lvlText w:val="-"/>
      <w:lvlJc w:val="left"/>
      <w:pPr>
        <w:ind w:left="1854" w:hanging="360"/>
      </w:pPr>
      <w:rPr>
        <w:rFonts w:ascii="Calibri" w:eastAsia="Times New Roman" w:hAnsi="Calibri" w:cs="Calibri" w:hint="default"/>
      </w:rPr>
    </w:lvl>
    <w:lvl w:ilvl="1" w:tplc="DDE8A3EE">
      <w:start w:val="1"/>
      <w:numFmt w:val="bullet"/>
      <w:lvlText w:val="-"/>
      <w:lvlJc w:val="left"/>
      <w:pPr>
        <w:ind w:left="2574" w:hanging="360"/>
      </w:pPr>
      <w:rPr>
        <w:rFonts w:ascii="Arial" w:hAnsi="Arial" w:hint="default"/>
        <w:effect w:val="none"/>
      </w:rPr>
    </w:lvl>
    <w:lvl w:ilvl="2" w:tplc="28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8AC3915"/>
    <w:multiLevelType w:val="hybridMultilevel"/>
    <w:tmpl w:val="155A9AE2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A182A6F"/>
    <w:multiLevelType w:val="hybridMultilevel"/>
    <w:tmpl w:val="F3CC7ED0"/>
    <w:lvl w:ilvl="0" w:tplc="78F25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04369"/>
    <w:multiLevelType w:val="hybridMultilevel"/>
    <w:tmpl w:val="E5A0A900"/>
    <w:lvl w:ilvl="0" w:tplc="80EC5622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3"/>
  </w:num>
  <w:num w:numId="4">
    <w:abstractNumId w:val="13"/>
  </w:num>
  <w:num w:numId="5">
    <w:abstractNumId w:val="1"/>
  </w:num>
  <w:num w:numId="6">
    <w:abstractNumId w:val="5"/>
  </w:num>
  <w:num w:numId="7">
    <w:abstractNumId w:val="27"/>
  </w:num>
  <w:num w:numId="8">
    <w:abstractNumId w:val="6"/>
  </w:num>
  <w:num w:numId="9">
    <w:abstractNumId w:val="25"/>
  </w:num>
  <w:num w:numId="10">
    <w:abstractNumId w:val="10"/>
  </w:num>
  <w:num w:numId="11">
    <w:abstractNumId w:val="28"/>
  </w:num>
  <w:num w:numId="12">
    <w:abstractNumId w:val="22"/>
  </w:num>
  <w:num w:numId="13">
    <w:abstractNumId w:val="12"/>
  </w:num>
  <w:num w:numId="14">
    <w:abstractNumId w:val="2"/>
  </w:num>
  <w:num w:numId="15">
    <w:abstractNumId w:val="14"/>
  </w:num>
  <w:num w:numId="16">
    <w:abstractNumId w:val="4"/>
  </w:num>
  <w:num w:numId="17">
    <w:abstractNumId w:val="11"/>
  </w:num>
  <w:num w:numId="18">
    <w:abstractNumId w:val="8"/>
  </w:num>
  <w:num w:numId="19">
    <w:abstractNumId w:val="9"/>
  </w:num>
  <w:num w:numId="20">
    <w:abstractNumId w:val="24"/>
  </w:num>
  <w:num w:numId="21">
    <w:abstractNumId w:val="26"/>
  </w:num>
  <w:num w:numId="22">
    <w:abstractNumId w:val="16"/>
  </w:num>
  <w:num w:numId="23">
    <w:abstractNumId w:val="17"/>
  </w:num>
  <w:num w:numId="24">
    <w:abstractNumId w:val="20"/>
  </w:num>
  <w:num w:numId="25">
    <w:abstractNumId w:val="0"/>
  </w:num>
  <w:num w:numId="26">
    <w:abstractNumId w:val="19"/>
  </w:num>
  <w:num w:numId="27">
    <w:abstractNumId w:val="21"/>
  </w:num>
  <w:num w:numId="28">
    <w:abstractNumId w:val="7"/>
  </w:num>
  <w:num w:numId="2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8C"/>
    <w:rsid w:val="00000226"/>
    <w:rsid w:val="000002F2"/>
    <w:rsid w:val="000006B7"/>
    <w:rsid w:val="00000B0D"/>
    <w:rsid w:val="00002BAC"/>
    <w:rsid w:val="00003A80"/>
    <w:rsid w:val="000041A8"/>
    <w:rsid w:val="00004ADA"/>
    <w:rsid w:val="0000648D"/>
    <w:rsid w:val="0000675A"/>
    <w:rsid w:val="00006D1B"/>
    <w:rsid w:val="000075D8"/>
    <w:rsid w:val="0001129E"/>
    <w:rsid w:val="0001151B"/>
    <w:rsid w:val="00011CF2"/>
    <w:rsid w:val="00012184"/>
    <w:rsid w:val="00012655"/>
    <w:rsid w:val="000134BD"/>
    <w:rsid w:val="00013BA2"/>
    <w:rsid w:val="00013D26"/>
    <w:rsid w:val="000146D1"/>
    <w:rsid w:val="000148D2"/>
    <w:rsid w:val="00014F26"/>
    <w:rsid w:val="000150C9"/>
    <w:rsid w:val="00015909"/>
    <w:rsid w:val="00016099"/>
    <w:rsid w:val="000160ED"/>
    <w:rsid w:val="000163EA"/>
    <w:rsid w:val="00016669"/>
    <w:rsid w:val="0001680B"/>
    <w:rsid w:val="00016D5C"/>
    <w:rsid w:val="000175E6"/>
    <w:rsid w:val="00017C21"/>
    <w:rsid w:val="00020393"/>
    <w:rsid w:val="00020412"/>
    <w:rsid w:val="00020EB6"/>
    <w:rsid w:val="000214DE"/>
    <w:rsid w:val="00021F49"/>
    <w:rsid w:val="0002242E"/>
    <w:rsid w:val="00022C03"/>
    <w:rsid w:val="00023115"/>
    <w:rsid w:val="00024122"/>
    <w:rsid w:val="00024339"/>
    <w:rsid w:val="00024534"/>
    <w:rsid w:val="000248C6"/>
    <w:rsid w:val="00024DA0"/>
    <w:rsid w:val="00024FFF"/>
    <w:rsid w:val="0002553D"/>
    <w:rsid w:val="00025CDF"/>
    <w:rsid w:val="0002630C"/>
    <w:rsid w:val="0002664E"/>
    <w:rsid w:val="00030275"/>
    <w:rsid w:val="00031E01"/>
    <w:rsid w:val="00031F9F"/>
    <w:rsid w:val="0003240B"/>
    <w:rsid w:val="000352D5"/>
    <w:rsid w:val="00035953"/>
    <w:rsid w:val="000364D2"/>
    <w:rsid w:val="0003686F"/>
    <w:rsid w:val="00036959"/>
    <w:rsid w:val="00036CBA"/>
    <w:rsid w:val="000371C9"/>
    <w:rsid w:val="00037633"/>
    <w:rsid w:val="00037CD4"/>
    <w:rsid w:val="00040970"/>
    <w:rsid w:val="00040E43"/>
    <w:rsid w:val="000418B8"/>
    <w:rsid w:val="00041949"/>
    <w:rsid w:val="000421C0"/>
    <w:rsid w:val="00043BD6"/>
    <w:rsid w:val="00045B6C"/>
    <w:rsid w:val="0004679A"/>
    <w:rsid w:val="00050171"/>
    <w:rsid w:val="0005021A"/>
    <w:rsid w:val="00051D68"/>
    <w:rsid w:val="0005230B"/>
    <w:rsid w:val="00052B5C"/>
    <w:rsid w:val="00053020"/>
    <w:rsid w:val="00053626"/>
    <w:rsid w:val="0005385E"/>
    <w:rsid w:val="000541D1"/>
    <w:rsid w:val="00054408"/>
    <w:rsid w:val="00055EF5"/>
    <w:rsid w:val="000562C9"/>
    <w:rsid w:val="00056C8D"/>
    <w:rsid w:val="00056E1A"/>
    <w:rsid w:val="00056E21"/>
    <w:rsid w:val="00057118"/>
    <w:rsid w:val="000575FC"/>
    <w:rsid w:val="00057890"/>
    <w:rsid w:val="0005796F"/>
    <w:rsid w:val="0006003D"/>
    <w:rsid w:val="00060057"/>
    <w:rsid w:val="000603E1"/>
    <w:rsid w:val="00060D51"/>
    <w:rsid w:val="00060DDF"/>
    <w:rsid w:val="00060FE9"/>
    <w:rsid w:val="0006233C"/>
    <w:rsid w:val="000623E2"/>
    <w:rsid w:val="00062913"/>
    <w:rsid w:val="00062939"/>
    <w:rsid w:val="00064B86"/>
    <w:rsid w:val="00065365"/>
    <w:rsid w:val="0006538F"/>
    <w:rsid w:val="000666B4"/>
    <w:rsid w:val="000668BA"/>
    <w:rsid w:val="00067354"/>
    <w:rsid w:val="0006764E"/>
    <w:rsid w:val="000676E4"/>
    <w:rsid w:val="00067734"/>
    <w:rsid w:val="0006790E"/>
    <w:rsid w:val="00067C33"/>
    <w:rsid w:val="00067FAD"/>
    <w:rsid w:val="000719EE"/>
    <w:rsid w:val="00072355"/>
    <w:rsid w:val="00072763"/>
    <w:rsid w:val="00073A0E"/>
    <w:rsid w:val="00073E13"/>
    <w:rsid w:val="00074805"/>
    <w:rsid w:val="00074D6A"/>
    <w:rsid w:val="000755FD"/>
    <w:rsid w:val="00075B6C"/>
    <w:rsid w:val="00075C19"/>
    <w:rsid w:val="0007720A"/>
    <w:rsid w:val="00077D13"/>
    <w:rsid w:val="00080822"/>
    <w:rsid w:val="000809FA"/>
    <w:rsid w:val="00081CF7"/>
    <w:rsid w:val="0008248E"/>
    <w:rsid w:val="00082C59"/>
    <w:rsid w:val="00082FBA"/>
    <w:rsid w:val="000832B7"/>
    <w:rsid w:val="0008381D"/>
    <w:rsid w:val="00083EB4"/>
    <w:rsid w:val="00084D5C"/>
    <w:rsid w:val="00085F47"/>
    <w:rsid w:val="00085FF7"/>
    <w:rsid w:val="00086FA7"/>
    <w:rsid w:val="00090962"/>
    <w:rsid w:val="00091324"/>
    <w:rsid w:val="0009167D"/>
    <w:rsid w:val="0009174D"/>
    <w:rsid w:val="00093785"/>
    <w:rsid w:val="00093913"/>
    <w:rsid w:val="000939B2"/>
    <w:rsid w:val="000939DF"/>
    <w:rsid w:val="00093CCF"/>
    <w:rsid w:val="00093F56"/>
    <w:rsid w:val="00094377"/>
    <w:rsid w:val="000948D6"/>
    <w:rsid w:val="00094C34"/>
    <w:rsid w:val="00097141"/>
    <w:rsid w:val="00097980"/>
    <w:rsid w:val="000A004C"/>
    <w:rsid w:val="000A04F4"/>
    <w:rsid w:val="000A20D1"/>
    <w:rsid w:val="000A26D3"/>
    <w:rsid w:val="000A2E3F"/>
    <w:rsid w:val="000A3524"/>
    <w:rsid w:val="000A3FDD"/>
    <w:rsid w:val="000A4304"/>
    <w:rsid w:val="000A4982"/>
    <w:rsid w:val="000A4A44"/>
    <w:rsid w:val="000A4ACE"/>
    <w:rsid w:val="000A523D"/>
    <w:rsid w:val="000A62A0"/>
    <w:rsid w:val="000A665B"/>
    <w:rsid w:val="000A74C1"/>
    <w:rsid w:val="000A7A29"/>
    <w:rsid w:val="000B0D87"/>
    <w:rsid w:val="000B1176"/>
    <w:rsid w:val="000B2572"/>
    <w:rsid w:val="000B3D67"/>
    <w:rsid w:val="000B3D78"/>
    <w:rsid w:val="000B40DF"/>
    <w:rsid w:val="000B4902"/>
    <w:rsid w:val="000B50EE"/>
    <w:rsid w:val="000B5993"/>
    <w:rsid w:val="000B7F62"/>
    <w:rsid w:val="000C06AC"/>
    <w:rsid w:val="000C0A61"/>
    <w:rsid w:val="000C1D63"/>
    <w:rsid w:val="000C1E64"/>
    <w:rsid w:val="000C1EA5"/>
    <w:rsid w:val="000C23FD"/>
    <w:rsid w:val="000C3993"/>
    <w:rsid w:val="000C4B8C"/>
    <w:rsid w:val="000C55C4"/>
    <w:rsid w:val="000C6316"/>
    <w:rsid w:val="000C68E0"/>
    <w:rsid w:val="000C73DA"/>
    <w:rsid w:val="000C7A37"/>
    <w:rsid w:val="000C7C34"/>
    <w:rsid w:val="000C7DD7"/>
    <w:rsid w:val="000D0A8C"/>
    <w:rsid w:val="000D0CD7"/>
    <w:rsid w:val="000D1067"/>
    <w:rsid w:val="000D12EC"/>
    <w:rsid w:val="000D1498"/>
    <w:rsid w:val="000D17D0"/>
    <w:rsid w:val="000D1F2C"/>
    <w:rsid w:val="000D20A5"/>
    <w:rsid w:val="000D2240"/>
    <w:rsid w:val="000D3A36"/>
    <w:rsid w:val="000D3E25"/>
    <w:rsid w:val="000D406D"/>
    <w:rsid w:val="000D428F"/>
    <w:rsid w:val="000D4600"/>
    <w:rsid w:val="000D5ECA"/>
    <w:rsid w:val="000D7638"/>
    <w:rsid w:val="000D7A34"/>
    <w:rsid w:val="000E0138"/>
    <w:rsid w:val="000E1102"/>
    <w:rsid w:val="000E117E"/>
    <w:rsid w:val="000E1B40"/>
    <w:rsid w:val="000E31A4"/>
    <w:rsid w:val="000E3459"/>
    <w:rsid w:val="000E3A66"/>
    <w:rsid w:val="000E3C83"/>
    <w:rsid w:val="000E4A37"/>
    <w:rsid w:val="000E4C6D"/>
    <w:rsid w:val="000E58A9"/>
    <w:rsid w:val="000E5EFD"/>
    <w:rsid w:val="000E68C6"/>
    <w:rsid w:val="000E6AC0"/>
    <w:rsid w:val="000E6EC4"/>
    <w:rsid w:val="000E71D4"/>
    <w:rsid w:val="000E7967"/>
    <w:rsid w:val="000E79AC"/>
    <w:rsid w:val="000F0444"/>
    <w:rsid w:val="000F2237"/>
    <w:rsid w:val="000F312B"/>
    <w:rsid w:val="000F3297"/>
    <w:rsid w:val="000F3341"/>
    <w:rsid w:val="000F4203"/>
    <w:rsid w:val="000F4FA4"/>
    <w:rsid w:val="000F5910"/>
    <w:rsid w:val="000F63F9"/>
    <w:rsid w:val="000F67F9"/>
    <w:rsid w:val="000F7181"/>
    <w:rsid w:val="000F7805"/>
    <w:rsid w:val="00100FAF"/>
    <w:rsid w:val="00100FB7"/>
    <w:rsid w:val="00101008"/>
    <w:rsid w:val="00101709"/>
    <w:rsid w:val="001018A8"/>
    <w:rsid w:val="001020C8"/>
    <w:rsid w:val="00102510"/>
    <w:rsid w:val="00102B4F"/>
    <w:rsid w:val="001034DA"/>
    <w:rsid w:val="00103711"/>
    <w:rsid w:val="00103CD0"/>
    <w:rsid w:val="00103E00"/>
    <w:rsid w:val="0010542C"/>
    <w:rsid w:val="00105F6B"/>
    <w:rsid w:val="00106595"/>
    <w:rsid w:val="001066B2"/>
    <w:rsid w:val="00107405"/>
    <w:rsid w:val="001078D8"/>
    <w:rsid w:val="00107AA4"/>
    <w:rsid w:val="001102C6"/>
    <w:rsid w:val="00111078"/>
    <w:rsid w:val="00111955"/>
    <w:rsid w:val="00112D1A"/>
    <w:rsid w:val="00112D40"/>
    <w:rsid w:val="001131BF"/>
    <w:rsid w:val="001144AC"/>
    <w:rsid w:val="001145B7"/>
    <w:rsid w:val="00116742"/>
    <w:rsid w:val="001168AA"/>
    <w:rsid w:val="00116F1A"/>
    <w:rsid w:val="0011701D"/>
    <w:rsid w:val="00117473"/>
    <w:rsid w:val="001177C5"/>
    <w:rsid w:val="00117AD3"/>
    <w:rsid w:val="0012088B"/>
    <w:rsid w:val="00121032"/>
    <w:rsid w:val="00121677"/>
    <w:rsid w:val="00121830"/>
    <w:rsid w:val="001226B1"/>
    <w:rsid w:val="00122914"/>
    <w:rsid w:val="0012330D"/>
    <w:rsid w:val="00123356"/>
    <w:rsid w:val="001236DE"/>
    <w:rsid w:val="0012395B"/>
    <w:rsid w:val="00123B26"/>
    <w:rsid w:val="0012401A"/>
    <w:rsid w:val="001240D1"/>
    <w:rsid w:val="00125D44"/>
    <w:rsid w:val="001262D2"/>
    <w:rsid w:val="001266C5"/>
    <w:rsid w:val="001271B9"/>
    <w:rsid w:val="00127613"/>
    <w:rsid w:val="00127874"/>
    <w:rsid w:val="001308A8"/>
    <w:rsid w:val="0013151B"/>
    <w:rsid w:val="00131724"/>
    <w:rsid w:val="00131A28"/>
    <w:rsid w:val="00136DE7"/>
    <w:rsid w:val="00136E81"/>
    <w:rsid w:val="00137399"/>
    <w:rsid w:val="001375F8"/>
    <w:rsid w:val="001379A6"/>
    <w:rsid w:val="0014073A"/>
    <w:rsid w:val="00140CBA"/>
    <w:rsid w:val="00140CBB"/>
    <w:rsid w:val="0014120D"/>
    <w:rsid w:val="00141DDB"/>
    <w:rsid w:val="00141DF3"/>
    <w:rsid w:val="00141E5A"/>
    <w:rsid w:val="00143390"/>
    <w:rsid w:val="0014340C"/>
    <w:rsid w:val="001436B4"/>
    <w:rsid w:val="00143BC7"/>
    <w:rsid w:val="001441F4"/>
    <w:rsid w:val="00144394"/>
    <w:rsid w:val="00144746"/>
    <w:rsid w:val="0014502E"/>
    <w:rsid w:val="00146083"/>
    <w:rsid w:val="001462A8"/>
    <w:rsid w:val="00150E63"/>
    <w:rsid w:val="00151D4E"/>
    <w:rsid w:val="001520AD"/>
    <w:rsid w:val="0015271B"/>
    <w:rsid w:val="00153AF8"/>
    <w:rsid w:val="00154083"/>
    <w:rsid w:val="001543BC"/>
    <w:rsid w:val="00154CEE"/>
    <w:rsid w:val="00154FB2"/>
    <w:rsid w:val="00155144"/>
    <w:rsid w:val="00155244"/>
    <w:rsid w:val="00155879"/>
    <w:rsid w:val="001558D4"/>
    <w:rsid w:val="00155A58"/>
    <w:rsid w:val="001566BC"/>
    <w:rsid w:val="001568A4"/>
    <w:rsid w:val="00156FB2"/>
    <w:rsid w:val="00157411"/>
    <w:rsid w:val="00157ED7"/>
    <w:rsid w:val="00157F53"/>
    <w:rsid w:val="0016053B"/>
    <w:rsid w:val="00160CBD"/>
    <w:rsid w:val="0016106F"/>
    <w:rsid w:val="0016126C"/>
    <w:rsid w:val="00161368"/>
    <w:rsid w:val="00162DEE"/>
    <w:rsid w:val="00163205"/>
    <w:rsid w:val="0016391B"/>
    <w:rsid w:val="001649B1"/>
    <w:rsid w:val="001674C1"/>
    <w:rsid w:val="00170121"/>
    <w:rsid w:val="00170194"/>
    <w:rsid w:val="001702CB"/>
    <w:rsid w:val="001706FD"/>
    <w:rsid w:val="00170C9A"/>
    <w:rsid w:val="0017113F"/>
    <w:rsid w:val="0017148F"/>
    <w:rsid w:val="00171ED7"/>
    <w:rsid w:val="00172895"/>
    <w:rsid w:val="00172CC9"/>
    <w:rsid w:val="00172EF5"/>
    <w:rsid w:val="00173D44"/>
    <w:rsid w:val="001740C3"/>
    <w:rsid w:val="001747A3"/>
    <w:rsid w:val="001758BF"/>
    <w:rsid w:val="00175DAA"/>
    <w:rsid w:val="00175FD3"/>
    <w:rsid w:val="00176532"/>
    <w:rsid w:val="0017753D"/>
    <w:rsid w:val="00177A43"/>
    <w:rsid w:val="00180569"/>
    <w:rsid w:val="00180E89"/>
    <w:rsid w:val="00181506"/>
    <w:rsid w:val="00181705"/>
    <w:rsid w:val="00182AA4"/>
    <w:rsid w:val="00182C44"/>
    <w:rsid w:val="00182C53"/>
    <w:rsid w:val="00183635"/>
    <w:rsid w:val="00183AF2"/>
    <w:rsid w:val="0018452B"/>
    <w:rsid w:val="001847BC"/>
    <w:rsid w:val="00187079"/>
    <w:rsid w:val="00187758"/>
    <w:rsid w:val="00191722"/>
    <w:rsid w:val="00191EFF"/>
    <w:rsid w:val="00192F72"/>
    <w:rsid w:val="00193064"/>
    <w:rsid w:val="00193863"/>
    <w:rsid w:val="0019402B"/>
    <w:rsid w:val="0019544A"/>
    <w:rsid w:val="00196942"/>
    <w:rsid w:val="00196A15"/>
    <w:rsid w:val="00196F53"/>
    <w:rsid w:val="00197456"/>
    <w:rsid w:val="00197A00"/>
    <w:rsid w:val="001A034E"/>
    <w:rsid w:val="001A0D5C"/>
    <w:rsid w:val="001A1213"/>
    <w:rsid w:val="001A157E"/>
    <w:rsid w:val="001A3752"/>
    <w:rsid w:val="001A38A8"/>
    <w:rsid w:val="001A3A2B"/>
    <w:rsid w:val="001A3EFD"/>
    <w:rsid w:val="001A4062"/>
    <w:rsid w:val="001A5177"/>
    <w:rsid w:val="001A518C"/>
    <w:rsid w:val="001A563B"/>
    <w:rsid w:val="001A5663"/>
    <w:rsid w:val="001A5A31"/>
    <w:rsid w:val="001A6842"/>
    <w:rsid w:val="001A6976"/>
    <w:rsid w:val="001A69FF"/>
    <w:rsid w:val="001A6CB4"/>
    <w:rsid w:val="001A6F41"/>
    <w:rsid w:val="001A74B2"/>
    <w:rsid w:val="001B1285"/>
    <w:rsid w:val="001B23E9"/>
    <w:rsid w:val="001B36A6"/>
    <w:rsid w:val="001B40B4"/>
    <w:rsid w:val="001B4525"/>
    <w:rsid w:val="001B4535"/>
    <w:rsid w:val="001B519C"/>
    <w:rsid w:val="001B5352"/>
    <w:rsid w:val="001B5575"/>
    <w:rsid w:val="001B577B"/>
    <w:rsid w:val="001B5895"/>
    <w:rsid w:val="001B59E0"/>
    <w:rsid w:val="001B5F3F"/>
    <w:rsid w:val="001B678C"/>
    <w:rsid w:val="001B6CCB"/>
    <w:rsid w:val="001C136C"/>
    <w:rsid w:val="001C1400"/>
    <w:rsid w:val="001C150F"/>
    <w:rsid w:val="001C1D2C"/>
    <w:rsid w:val="001C236B"/>
    <w:rsid w:val="001C243F"/>
    <w:rsid w:val="001C2A3E"/>
    <w:rsid w:val="001C2AF5"/>
    <w:rsid w:val="001C343A"/>
    <w:rsid w:val="001C3737"/>
    <w:rsid w:val="001C382D"/>
    <w:rsid w:val="001C4B69"/>
    <w:rsid w:val="001C5727"/>
    <w:rsid w:val="001C5ADC"/>
    <w:rsid w:val="001C5F94"/>
    <w:rsid w:val="001C621E"/>
    <w:rsid w:val="001C70FE"/>
    <w:rsid w:val="001C788B"/>
    <w:rsid w:val="001C79CA"/>
    <w:rsid w:val="001D0449"/>
    <w:rsid w:val="001D05C7"/>
    <w:rsid w:val="001D181A"/>
    <w:rsid w:val="001D1E2C"/>
    <w:rsid w:val="001D2123"/>
    <w:rsid w:val="001D2257"/>
    <w:rsid w:val="001D2857"/>
    <w:rsid w:val="001D2FDE"/>
    <w:rsid w:val="001D39B2"/>
    <w:rsid w:val="001D438F"/>
    <w:rsid w:val="001D4B14"/>
    <w:rsid w:val="001D4DDF"/>
    <w:rsid w:val="001D51D6"/>
    <w:rsid w:val="001D56D6"/>
    <w:rsid w:val="001D6B8D"/>
    <w:rsid w:val="001D7AB8"/>
    <w:rsid w:val="001D7BC2"/>
    <w:rsid w:val="001D7BD7"/>
    <w:rsid w:val="001E119A"/>
    <w:rsid w:val="001E1BBA"/>
    <w:rsid w:val="001E1C11"/>
    <w:rsid w:val="001E2199"/>
    <w:rsid w:val="001E226A"/>
    <w:rsid w:val="001E2D8F"/>
    <w:rsid w:val="001E3851"/>
    <w:rsid w:val="001E4B16"/>
    <w:rsid w:val="001E5411"/>
    <w:rsid w:val="001E59E2"/>
    <w:rsid w:val="001E698D"/>
    <w:rsid w:val="001E6A9A"/>
    <w:rsid w:val="001E754C"/>
    <w:rsid w:val="001E7FD1"/>
    <w:rsid w:val="001F12F1"/>
    <w:rsid w:val="001F19E2"/>
    <w:rsid w:val="001F1F1B"/>
    <w:rsid w:val="001F24A7"/>
    <w:rsid w:val="001F26F0"/>
    <w:rsid w:val="001F37A5"/>
    <w:rsid w:val="001F40F1"/>
    <w:rsid w:val="001F5F08"/>
    <w:rsid w:val="001F61A4"/>
    <w:rsid w:val="001F6511"/>
    <w:rsid w:val="001F68E9"/>
    <w:rsid w:val="001F6B1E"/>
    <w:rsid w:val="001F6CC3"/>
    <w:rsid w:val="001F6D46"/>
    <w:rsid w:val="001F730A"/>
    <w:rsid w:val="001F7331"/>
    <w:rsid w:val="001F7D6A"/>
    <w:rsid w:val="00200C3A"/>
    <w:rsid w:val="00202608"/>
    <w:rsid w:val="0020288E"/>
    <w:rsid w:val="0020463B"/>
    <w:rsid w:val="00204EA1"/>
    <w:rsid w:val="002055DF"/>
    <w:rsid w:val="00205F5E"/>
    <w:rsid w:val="00205FD1"/>
    <w:rsid w:val="00206A53"/>
    <w:rsid w:val="002076EB"/>
    <w:rsid w:val="00207A76"/>
    <w:rsid w:val="00210020"/>
    <w:rsid w:val="00210503"/>
    <w:rsid w:val="00210D08"/>
    <w:rsid w:val="00210D74"/>
    <w:rsid w:val="00210ECF"/>
    <w:rsid w:val="0021179D"/>
    <w:rsid w:val="00212371"/>
    <w:rsid w:val="00212977"/>
    <w:rsid w:val="00213093"/>
    <w:rsid w:val="00213832"/>
    <w:rsid w:val="002146D3"/>
    <w:rsid w:val="00215E7C"/>
    <w:rsid w:val="0021699F"/>
    <w:rsid w:val="00216D06"/>
    <w:rsid w:val="00216DFB"/>
    <w:rsid w:val="00217768"/>
    <w:rsid w:val="00220079"/>
    <w:rsid w:val="002205A7"/>
    <w:rsid w:val="00220E69"/>
    <w:rsid w:val="0022110E"/>
    <w:rsid w:val="00221B40"/>
    <w:rsid w:val="00221F5C"/>
    <w:rsid w:val="00222863"/>
    <w:rsid w:val="002231A8"/>
    <w:rsid w:val="002232E5"/>
    <w:rsid w:val="00223913"/>
    <w:rsid w:val="002253F1"/>
    <w:rsid w:val="002256C7"/>
    <w:rsid w:val="002259FF"/>
    <w:rsid w:val="00225B39"/>
    <w:rsid w:val="00225BFA"/>
    <w:rsid w:val="00226CA5"/>
    <w:rsid w:val="00226DAA"/>
    <w:rsid w:val="00227B13"/>
    <w:rsid w:val="00230619"/>
    <w:rsid w:val="00230906"/>
    <w:rsid w:val="002310E8"/>
    <w:rsid w:val="002314DA"/>
    <w:rsid w:val="00231DE9"/>
    <w:rsid w:val="0023231B"/>
    <w:rsid w:val="00232A93"/>
    <w:rsid w:val="00232F59"/>
    <w:rsid w:val="00233775"/>
    <w:rsid w:val="0023389B"/>
    <w:rsid w:val="002339EF"/>
    <w:rsid w:val="00233C2D"/>
    <w:rsid w:val="002357C9"/>
    <w:rsid w:val="0023769A"/>
    <w:rsid w:val="002377A5"/>
    <w:rsid w:val="00237844"/>
    <w:rsid w:val="00237A7D"/>
    <w:rsid w:val="002401E1"/>
    <w:rsid w:val="0024053D"/>
    <w:rsid w:val="00242307"/>
    <w:rsid w:val="002437A4"/>
    <w:rsid w:val="00244466"/>
    <w:rsid w:val="00244475"/>
    <w:rsid w:val="002447CA"/>
    <w:rsid w:val="00244928"/>
    <w:rsid w:val="00244D71"/>
    <w:rsid w:val="00245A7D"/>
    <w:rsid w:val="00245BCB"/>
    <w:rsid w:val="00245C10"/>
    <w:rsid w:val="00246696"/>
    <w:rsid w:val="002466EE"/>
    <w:rsid w:val="002468C4"/>
    <w:rsid w:val="00246A05"/>
    <w:rsid w:val="00246A0C"/>
    <w:rsid w:val="00247C18"/>
    <w:rsid w:val="00247C6E"/>
    <w:rsid w:val="0025038E"/>
    <w:rsid w:val="00250911"/>
    <w:rsid w:val="00250F25"/>
    <w:rsid w:val="002517EE"/>
    <w:rsid w:val="00251A2F"/>
    <w:rsid w:val="00251C17"/>
    <w:rsid w:val="0025276A"/>
    <w:rsid w:val="00252EB6"/>
    <w:rsid w:val="002542E3"/>
    <w:rsid w:val="00254EAB"/>
    <w:rsid w:val="0025512D"/>
    <w:rsid w:val="002554A7"/>
    <w:rsid w:val="002558EC"/>
    <w:rsid w:val="00255F88"/>
    <w:rsid w:val="00256210"/>
    <w:rsid w:val="00256A9C"/>
    <w:rsid w:val="00256D53"/>
    <w:rsid w:val="00256EC6"/>
    <w:rsid w:val="0025710B"/>
    <w:rsid w:val="00257A28"/>
    <w:rsid w:val="00260CF8"/>
    <w:rsid w:val="00260D24"/>
    <w:rsid w:val="00261831"/>
    <w:rsid w:val="002619E5"/>
    <w:rsid w:val="002620DE"/>
    <w:rsid w:val="002628DE"/>
    <w:rsid w:val="00262F0F"/>
    <w:rsid w:val="00265288"/>
    <w:rsid w:val="00265420"/>
    <w:rsid w:val="002661B2"/>
    <w:rsid w:val="002661C2"/>
    <w:rsid w:val="002666A8"/>
    <w:rsid w:val="00266A05"/>
    <w:rsid w:val="00266BA0"/>
    <w:rsid w:val="00267087"/>
    <w:rsid w:val="002678CD"/>
    <w:rsid w:val="002701CF"/>
    <w:rsid w:val="00271E8D"/>
    <w:rsid w:val="00273C25"/>
    <w:rsid w:val="00273E93"/>
    <w:rsid w:val="00274A11"/>
    <w:rsid w:val="002769A3"/>
    <w:rsid w:val="002773DA"/>
    <w:rsid w:val="00277924"/>
    <w:rsid w:val="00280C80"/>
    <w:rsid w:val="00280FC1"/>
    <w:rsid w:val="00281C97"/>
    <w:rsid w:val="00283483"/>
    <w:rsid w:val="00283CDE"/>
    <w:rsid w:val="002848BB"/>
    <w:rsid w:val="002851B9"/>
    <w:rsid w:val="00285A92"/>
    <w:rsid w:val="002862EA"/>
    <w:rsid w:val="00286FC5"/>
    <w:rsid w:val="002875B2"/>
    <w:rsid w:val="002900F9"/>
    <w:rsid w:val="002901F6"/>
    <w:rsid w:val="0029035C"/>
    <w:rsid w:val="00290678"/>
    <w:rsid w:val="0029173C"/>
    <w:rsid w:val="00291754"/>
    <w:rsid w:val="00291D5A"/>
    <w:rsid w:val="00292C14"/>
    <w:rsid w:val="00294C38"/>
    <w:rsid w:val="00295041"/>
    <w:rsid w:val="002955AB"/>
    <w:rsid w:val="00295777"/>
    <w:rsid w:val="00295ACB"/>
    <w:rsid w:val="002A0942"/>
    <w:rsid w:val="002A17CB"/>
    <w:rsid w:val="002A1AC1"/>
    <w:rsid w:val="002A1DB5"/>
    <w:rsid w:val="002A2ACB"/>
    <w:rsid w:val="002A32A4"/>
    <w:rsid w:val="002A37CF"/>
    <w:rsid w:val="002A3BD4"/>
    <w:rsid w:val="002A3E8A"/>
    <w:rsid w:val="002A46F7"/>
    <w:rsid w:val="002A5017"/>
    <w:rsid w:val="002A5536"/>
    <w:rsid w:val="002A5971"/>
    <w:rsid w:val="002A7364"/>
    <w:rsid w:val="002A73EE"/>
    <w:rsid w:val="002A7AEB"/>
    <w:rsid w:val="002B07F2"/>
    <w:rsid w:val="002B083C"/>
    <w:rsid w:val="002B0FF3"/>
    <w:rsid w:val="002B1DB5"/>
    <w:rsid w:val="002B2053"/>
    <w:rsid w:val="002B2A04"/>
    <w:rsid w:val="002B2D4D"/>
    <w:rsid w:val="002B2DC0"/>
    <w:rsid w:val="002B3F1F"/>
    <w:rsid w:val="002B4BBE"/>
    <w:rsid w:val="002B5CDF"/>
    <w:rsid w:val="002B6046"/>
    <w:rsid w:val="002B71DD"/>
    <w:rsid w:val="002C0908"/>
    <w:rsid w:val="002C14A8"/>
    <w:rsid w:val="002C1BFC"/>
    <w:rsid w:val="002C25F8"/>
    <w:rsid w:val="002C2C84"/>
    <w:rsid w:val="002C32DE"/>
    <w:rsid w:val="002C3760"/>
    <w:rsid w:val="002C4B48"/>
    <w:rsid w:val="002C4BC4"/>
    <w:rsid w:val="002C5010"/>
    <w:rsid w:val="002C56F0"/>
    <w:rsid w:val="002C59AD"/>
    <w:rsid w:val="002C700B"/>
    <w:rsid w:val="002C739D"/>
    <w:rsid w:val="002D0CCB"/>
    <w:rsid w:val="002D17C4"/>
    <w:rsid w:val="002D1A01"/>
    <w:rsid w:val="002D1A9D"/>
    <w:rsid w:val="002D1B1C"/>
    <w:rsid w:val="002D1F3E"/>
    <w:rsid w:val="002D2808"/>
    <w:rsid w:val="002D2813"/>
    <w:rsid w:val="002D2AA3"/>
    <w:rsid w:val="002D2F05"/>
    <w:rsid w:val="002D3513"/>
    <w:rsid w:val="002D38ED"/>
    <w:rsid w:val="002D58BC"/>
    <w:rsid w:val="002D6718"/>
    <w:rsid w:val="002D677F"/>
    <w:rsid w:val="002D6831"/>
    <w:rsid w:val="002D7451"/>
    <w:rsid w:val="002D7491"/>
    <w:rsid w:val="002D74A2"/>
    <w:rsid w:val="002D7516"/>
    <w:rsid w:val="002D7980"/>
    <w:rsid w:val="002D7CA0"/>
    <w:rsid w:val="002E023A"/>
    <w:rsid w:val="002E0C3C"/>
    <w:rsid w:val="002E0F1F"/>
    <w:rsid w:val="002E0F49"/>
    <w:rsid w:val="002E1F66"/>
    <w:rsid w:val="002E2214"/>
    <w:rsid w:val="002E2D32"/>
    <w:rsid w:val="002E2D6C"/>
    <w:rsid w:val="002E3656"/>
    <w:rsid w:val="002E3F55"/>
    <w:rsid w:val="002E4599"/>
    <w:rsid w:val="002E4D55"/>
    <w:rsid w:val="002E5E5E"/>
    <w:rsid w:val="002E6D71"/>
    <w:rsid w:val="002E7FF5"/>
    <w:rsid w:val="002F0D66"/>
    <w:rsid w:val="002F22FC"/>
    <w:rsid w:val="002F2327"/>
    <w:rsid w:val="002F253B"/>
    <w:rsid w:val="002F38D6"/>
    <w:rsid w:val="002F5A3C"/>
    <w:rsid w:val="002F5B94"/>
    <w:rsid w:val="002F6CEF"/>
    <w:rsid w:val="00300331"/>
    <w:rsid w:val="00300A0D"/>
    <w:rsid w:val="00300D7C"/>
    <w:rsid w:val="003015FB"/>
    <w:rsid w:val="00302292"/>
    <w:rsid w:val="00302819"/>
    <w:rsid w:val="0030308C"/>
    <w:rsid w:val="00303125"/>
    <w:rsid w:val="00304E5B"/>
    <w:rsid w:val="0030593A"/>
    <w:rsid w:val="00305F2A"/>
    <w:rsid w:val="003064D7"/>
    <w:rsid w:val="00306E23"/>
    <w:rsid w:val="00307488"/>
    <w:rsid w:val="003074C5"/>
    <w:rsid w:val="00307950"/>
    <w:rsid w:val="0031006E"/>
    <w:rsid w:val="0031071B"/>
    <w:rsid w:val="00311A29"/>
    <w:rsid w:val="0031232E"/>
    <w:rsid w:val="00312A11"/>
    <w:rsid w:val="00312BA6"/>
    <w:rsid w:val="003136EE"/>
    <w:rsid w:val="003153B9"/>
    <w:rsid w:val="00316971"/>
    <w:rsid w:val="00316EEC"/>
    <w:rsid w:val="00317184"/>
    <w:rsid w:val="003207F5"/>
    <w:rsid w:val="00320925"/>
    <w:rsid w:val="003213C4"/>
    <w:rsid w:val="003214FB"/>
    <w:rsid w:val="00323363"/>
    <w:rsid w:val="00323ED3"/>
    <w:rsid w:val="00324654"/>
    <w:rsid w:val="00324766"/>
    <w:rsid w:val="00324B6C"/>
    <w:rsid w:val="00324DE5"/>
    <w:rsid w:val="00325560"/>
    <w:rsid w:val="00325C23"/>
    <w:rsid w:val="00325DE6"/>
    <w:rsid w:val="00326E42"/>
    <w:rsid w:val="00326EF5"/>
    <w:rsid w:val="003274F2"/>
    <w:rsid w:val="00327955"/>
    <w:rsid w:val="00327973"/>
    <w:rsid w:val="00330A67"/>
    <w:rsid w:val="00331EF3"/>
    <w:rsid w:val="00332270"/>
    <w:rsid w:val="003328CA"/>
    <w:rsid w:val="003329DB"/>
    <w:rsid w:val="00332BBF"/>
    <w:rsid w:val="003353BC"/>
    <w:rsid w:val="0033583D"/>
    <w:rsid w:val="0033647C"/>
    <w:rsid w:val="00336E99"/>
    <w:rsid w:val="0033706A"/>
    <w:rsid w:val="00337294"/>
    <w:rsid w:val="00337385"/>
    <w:rsid w:val="003402D8"/>
    <w:rsid w:val="00341A67"/>
    <w:rsid w:val="00342E16"/>
    <w:rsid w:val="00343995"/>
    <w:rsid w:val="00343C6E"/>
    <w:rsid w:val="00343FFB"/>
    <w:rsid w:val="00344571"/>
    <w:rsid w:val="00344E4F"/>
    <w:rsid w:val="00345C01"/>
    <w:rsid w:val="0034648B"/>
    <w:rsid w:val="003466FC"/>
    <w:rsid w:val="00346843"/>
    <w:rsid w:val="00347B1D"/>
    <w:rsid w:val="00347D7F"/>
    <w:rsid w:val="00347E7A"/>
    <w:rsid w:val="00347EC3"/>
    <w:rsid w:val="00347EE0"/>
    <w:rsid w:val="003501D5"/>
    <w:rsid w:val="00350A66"/>
    <w:rsid w:val="00350FDE"/>
    <w:rsid w:val="00351192"/>
    <w:rsid w:val="00351815"/>
    <w:rsid w:val="00351FD1"/>
    <w:rsid w:val="00352227"/>
    <w:rsid w:val="003529CF"/>
    <w:rsid w:val="0035316A"/>
    <w:rsid w:val="00354274"/>
    <w:rsid w:val="00354B70"/>
    <w:rsid w:val="00355114"/>
    <w:rsid w:val="00356457"/>
    <w:rsid w:val="00356977"/>
    <w:rsid w:val="00360128"/>
    <w:rsid w:val="0036088E"/>
    <w:rsid w:val="00360C02"/>
    <w:rsid w:val="00360DFD"/>
    <w:rsid w:val="00361582"/>
    <w:rsid w:val="0036158E"/>
    <w:rsid w:val="003616A2"/>
    <w:rsid w:val="00361D6A"/>
    <w:rsid w:val="00361DD2"/>
    <w:rsid w:val="00362366"/>
    <w:rsid w:val="003625AD"/>
    <w:rsid w:val="0036357A"/>
    <w:rsid w:val="00363891"/>
    <w:rsid w:val="00363CB1"/>
    <w:rsid w:val="00364046"/>
    <w:rsid w:val="0036459F"/>
    <w:rsid w:val="003648D0"/>
    <w:rsid w:val="00364A04"/>
    <w:rsid w:val="00364B05"/>
    <w:rsid w:val="00365038"/>
    <w:rsid w:val="0036522E"/>
    <w:rsid w:val="00365B55"/>
    <w:rsid w:val="00365CF5"/>
    <w:rsid w:val="00366619"/>
    <w:rsid w:val="00367FA0"/>
    <w:rsid w:val="003713FC"/>
    <w:rsid w:val="00372392"/>
    <w:rsid w:val="003725AB"/>
    <w:rsid w:val="003729DA"/>
    <w:rsid w:val="00372EE2"/>
    <w:rsid w:val="00372FF6"/>
    <w:rsid w:val="00373E83"/>
    <w:rsid w:val="00374762"/>
    <w:rsid w:val="00374EC0"/>
    <w:rsid w:val="003751B5"/>
    <w:rsid w:val="00375680"/>
    <w:rsid w:val="00375BE5"/>
    <w:rsid w:val="00375EF4"/>
    <w:rsid w:val="003762C9"/>
    <w:rsid w:val="0037636E"/>
    <w:rsid w:val="0037701E"/>
    <w:rsid w:val="00377087"/>
    <w:rsid w:val="003774CB"/>
    <w:rsid w:val="003778E0"/>
    <w:rsid w:val="00380FD5"/>
    <w:rsid w:val="00381210"/>
    <w:rsid w:val="003817F0"/>
    <w:rsid w:val="0038187C"/>
    <w:rsid w:val="003826A5"/>
    <w:rsid w:val="003829DC"/>
    <w:rsid w:val="00382AD1"/>
    <w:rsid w:val="003851BB"/>
    <w:rsid w:val="00385546"/>
    <w:rsid w:val="00385636"/>
    <w:rsid w:val="003859F4"/>
    <w:rsid w:val="00386718"/>
    <w:rsid w:val="003871FC"/>
    <w:rsid w:val="0038782F"/>
    <w:rsid w:val="0039078D"/>
    <w:rsid w:val="003908F9"/>
    <w:rsid w:val="0039110F"/>
    <w:rsid w:val="00393843"/>
    <w:rsid w:val="003939F8"/>
    <w:rsid w:val="003967F6"/>
    <w:rsid w:val="003968F4"/>
    <w:rsid w:val="00396EA9"/>
    <w:rsid w:val="0039744F"/>
    <w:rsid w:val="00397537"/>
    <w:rsid w:val="00397699"/>
    <w:rsid w:val="003977CF"/>
    <w:rsid w:val="00397D3D"/>
    <w:rsid w:val="003A07E4"/>
    <w:rsid w:val="003A0A05"/>
    <w:rsid w:val="003A0D05"/>
    <w:rsid w:val="003A0E0F"/>
    <w:rsid w:val="003A1074"/>
    <w:rsid w:val="003A127C"/>
    <w:rsid w:val="003A1DFB"/>
    <w:rsid w:val="003A20BA"/>
    <w:rsid w:val="003A2BB8"/>
    <w:rsid w:val="003A32BB"/>
    <w:rsid w:val="003A3A47"/>
    <w:rsid w:val="003A3EA6"/>
    <w:rsid w:val="003A401C"/>
    <w:rsid w:val="003A4DC8"/>
    <w:rsid w:val="003A5B74"/>
    <w:rsid w:val="003A6421"/>
    <w:rsid w:val="003A6945"/>
    <w:rsid w:val="003A744B"/>
    <w:rsid w:val="003B0AF3"/>
    <w:rsid w:val="003B0B9D"/>
    <w:rsid w:val="003B0FF4"/>
    <w:rsid w:val="003B13BB"/>
    <w:rsid w:val="003B1611"/>
    <w:rsid w:val="003B2955"/>
    <w:rsid w:val="003B35A2"/>
    <w:rsid w:val="003B36D8"/>
    <w:rsid w:val="003B41C1"/>
    <w:rsid w:val="003B4226"/>
    <w:rsid w:val="003B4B1D"/>
    <w:rsid w:val="003B5180"/>
    <w:rsid w:val="003B54EA"/>
    <w:rsid w:val="003B5E01"/>
    <w:rsid w:val="003B7D68"/>
    <w:rsid w:val="003C003C"/>
    <w:rsid w:val="003C144A"/>
    <w:rsid w:val="003C1892"/>
    <w:rsid w:val="003C1E15"/>
    <w:rsid w:val="003C2084"/>
    <w:rsid w:val="003C22D8"/>
    <w:rsid w:val="003C28C9"/>
    <w:rsid w:val="003C3B7D"/>
    <w:rsid w:val="003C4376"/>
    <w:rsid w:val="003C441C"/>
    <w:rsid w:val="003C46B0"/>
    <w:rsid w:val="003C709C"/>
    <w:rsid w:val="003C70FF"/>
    <w:rsid w:val="003D00DA"/>
    <w:rsid w:val="003D03AD"/>
    <w:rsid w:val="003D0C47"/>
    <w:rsid w:val="003D1265"/>
    <w:rsid w:val="003D1592"/>
    <w:rsid w:val="003D1725"/>
    <w:rsid w:val="003D1762"/>
    <w:rsid w:val="003D1F81"/>
    <w:rsid w:val="003D22A0"/>
    <w:rsid w:val="003D2DD3"/>
    <w:rsid w:val="003D3572"/>
    <w:rsid w:val="003D37FE"/>
    <w:rsid w:val="003D399B"/>
    <w:rsid w:val="003D4206"/>
    <w:rsid w:val="003D4C91"/>
    <w:rsid w:val="003D53F6"/>
    <w:rsid w:val="003D5CED"/>
    <w:rsid w:val="003D6294"/>
    <w:rsid w:val="003D633E"/>
    <w:rsid w:val="003D63D9"/>
    <w:rsid w:val="003D676C"/>
    <w:rsid w:val="003D6A02"/>
    <w:rsid w:val="003D74DF"/>
    <w:rsid w:val="003D762A"/>
    <w:rsid w:val="003D7765"/>
    <w:rsid w:val="003D799A"/>
    <w:rsid w:val="003D7A6B"/>
    <w:rsid w:val="003E0130"/>
    <w:rsid w:val="003E07FF"/>
    <w:rsid w:val="003E0972"/>
    <w:rsid w:val="003E1A3C"/>
    <w:rsid w:val="003E2197"/>
    <w:rsid w:val="003E3555"/>
    <w:rsid w:val="003E35C0"/>
    <w:rsid w:val="003E42E8"/>
    <w:rsid w:val="003E5740"/>
    <w:rsid w:val="003E5A6A"/>
    <w:rsid w:val="003E6AAC"/>
    <w:rsid w:val="003E7385"/>
    <w:rsid w:val="003E7421"/>
    <w:rsid w:val="003E7E5C"/>
    <w:rsid w:val="003F0D3F"/>
    <w:rsid w:val="003F10AC"/>
    <w:rsid w:val="003F1BE0"/>
    <w:rsid w:val="003F2F9E"/>
    <w:rsid w:val="003F3D11"/>
    <w:rsid w:val="003F4732"/>
    <w:rsid w:val="003F4807"/>
    <w:rsid w:val="003F567E"/>
    <w:rsid w:val="003F5852"/>
    <w:rsid w:val="003F5A83"/>
    <w:rsid w:val="003F5CD6"/>
    <w:rsid w:val="003F5D5A"/>
    <w:rsid w:val="003F5E56"/>
    <w:rsid w:val="003F6E04"/>
    <w:rsid w:val="003F6EC9"/>
    <w:rsid w:val="003F704E"/>
    <w:rsid w:val="003F725E"/>
    <w:rsid w:val="004001A5"/>
    <w:rsid w:val="004001B4"/>
    <w:rsid w:val="00400E72"/>
    <w:rsid w:val="00400EC4"/>
    <w:rsid w:val="0040435A"/>
    <w:rsid w:val="00404D3F"/>
    <w:rsid w:val="00404D6F"/>
    <w:rsid w:val="0040523A"/>
    <w:rsid w:val="004055C6"/>
    <w:rsid w:val="0040562B"/>
    <w:rsid w:val="00405CAB"/>
    <w:rsid w:val="00405D7F"/>
    <w:rsid w:val="004066E2"/>
    <w:rsid w:val="004075F0"/>
    <w:rsid w:val="0040785A"/>
    <w:rsid w:val="00407C23"/>
    <w:rsid w:val="00410034"/>
    <w:rsid w:val="00410CCA"/>
    <w:rsid w:val="0041148D"/>
    <w:rsid w:val="00411751"/>
    <w:rsid w:val="00411BDC"/>
    <w:rsid w:val="00412D51"/>
    <w:rsid w:val="0041340A"/>
    <w:rsid w:val="004142D9"/>
    <w:rsid w:val="004155A6"/>
    <w:rsid w:val="00415A29"/>
    <w:rsid w:val="00415B2B"/>
    <w:rsid w:val="00415BBC"/>
    <w:rsid w:val="00415EBD"/>
    <w:rsid w:val="004164EB"/>
    <w:rsid w:val="00416D6A"/>
    <w:rsid w:val="0041730C"/>
    <w:rsid w:val="004179E2"/>
    <w:rsid w:val="00420BCD"/>
    <w:rsid w:val="00420C2E"/>
    <w:rsid w:val="004218BE"/>
    <w:rsid w:val="00421DB9"/>
    <w:rsid w:val="00422289"/>
    <w:rsid w:val="00423344"/>
    <w:rsid w:val="0042370B"/>
    <w:rsid w:val="00424216"/>
    <w:rsid w:val="00424A24"/>
    <w:rsid w:val="00424CD6"/>
    <w:rsid w:val="00424CDC"/>
    <w:rsid w:val="004253C0"/>
    <w:rsid w:val="0042667D"/>
    <w:rsid w:val="00426BF9"/>
    <w:rsid w:val="00426EA4"/>
    <w:rsid w:val="00427883"/>
    <w:rsid w:val="0043012D"/>
    <w:rsid w:val="00431B0B"/>
    <w:rsid w:val="0043219F"/>
    <w:rsid w:val="004324FB"/>
    <w:rsid w:val="00432FDE"/>
    <w:rsid w:val="00433085"/>
    <w:rsid w:val="004356A8"/>
    <w:rsid w:val="00435B03"/>
    <w:rsid w:val="00435EDE"/>
    <w:rsid w:val="004366F2"/>
    <w:rsid w:val="00436C40"/>
    <w:rsid w:val="004378B9"/>
    <w:rsid w:val="004409DA"/>
    <w:rsid w:val="00440F41"/>
    <w:rsid w:val="00441BC3"/>
    <w:rsid w:val="00441C60"/>
    <w:rsid w:val="00442421"/>
    <w:rsid w:val="004446B2"/>
    <w:rsid w:val="004447DC"/>
    <w:rsid w:val="004448AA"/>
    <w:rsid w:val="00444B64"/>
    <w:rsid w:val="00445814"/>
    <w:rsid w:val="00446634"/>
    <w:rsid w:val="00446D6F"/>
    <w:rsid w:val="00446DA1"/>
    <w:rsid w:val="0044727D"/>
    <w:rsid w:val="00447EA9"/>
    <w:rsid w:val="0045000D"/>
    <w:rsid w:val="00451A82"/>
    <w:rsid w:val="00452145"/>
    <w:rsid w:val="00452461"/>
    <w:rsid w:val="00452943"/>
    <w:rsid w:val="004531A0"/>
    <w:rsid w:val="0045365B"/>
    <w:rsid w:val="00453D40"/>
    <w:rsid w:val="00454B6F"/>
    <w:rsid w:val="00455BBC"/>
    <w:rsid w:val="00455FD5"/>
    <w:rsid w:val="00456311"/>
    <w:rsid w:val="00456539"/>
    <w:rsid w:val="004579A7"/>
    <w:rsid w:val="00457A92"/>
    <w:rsid w:val="00460133"/>
    <w:rsid w:val="0046055F"/>
    <w:rsid w:val="00460AE1"/>
    <w:rsid w:val="00461074"/>
    <w:rsid w:val="004616E1"/>
    <w:rsid w:val="00461764"/>
    <w:rsid w:val="00461E09"/>
    <w:rsid w:val="004632E9"/>
    <w:rsid w:val="004633DC"/>
    <w:rsid w:val="0046403F"/>
    <w:rsid w:val="004648A0"/>
    <w:rsid w:val="004649F6"/>
    <w:rsid w:val="00464BFB"/>
    <w:rsid w:val="00465FA6"/>
    <w:rsid w:val="004666E7"/>
    <w:rsid w:val="00466947"/>
    <w:rsid w:val="0046742A"/>
    <w:rsid w:val="00467A9A"/>
    <w:rsid w:val="00467E01"/>
    <w:rsid w:val="00467EC0"/>
    <w:rsid w:val="00470B92"/>
    <w:rsid w:val="00470D1D"/>
    <w:rsid w:val="00470FAB"/>
    <w:rsid w:val="00471605"/>
    <w:rsid w:val="004723AA"/>
    <w:rsid w:val="0047261A"/>
    <w:rsid w:val="00472F4B"/>
    <w:rsid w:val="0047376F"/>
    <w:rsid w:val="00473A25"/>
    <w:rsid w:val="00473F7F"/>
    <w:rsid w:val="0047415C"/>
    <w:rsid w:val="004741BA"/>
    <w:rsid w:val="0047475C"/>
    <w:rsid w:val="004758DE"/>
    <w:rsid w:val="00475BB6"/>
    <w:rsid w:val="00475CBD"/>
    <w:rsid w:val="0047723A"/>
    <w:rsid w:val="00477536"/>
    <w:rsid w:val="00477999"/>
    <w:rsid w:val="004801DB"/>
    <w:rsid w:val="00480840"/>
    <w:rsid w:val="00480C6C"/>
    <w:rsid w:val="0048370A"/>
    <w:rsid w:val="00483B59"/>
    <w:rsid w:val="00485FE5"/>
    <w:rsid w:val="004860D0"/>
    <w:rsid w:val="0048626D"/>
    <w:rsid w:val="00487064"/>
    <w:rsid w:val="0048712E"/>
    <w:rsid w:val="00487432"/>
    <w:rsid w:val="0049033F"/>
    <w:rsid w:val="00490CC4"/>
    <w:rsid w:val="0049133C"/>
    <w:rsid w:val="00491E73"/>
    <w:rsid w:val="004922F1"/>
    <w:rsid w:val="0049344F"/>
    <w:rsid w:val="0049349A"/>
    <w:rsid w:val="00494915"/>
    <w:rsid w:val="00495D35"/>
    <w:rsid w:val="00495FDA"/>
    <w:rsid w:val="0049619D"/>
    <w:rsid w:val="00496BF9"/>
    <w:rsid w:val="00496D4D"/>
    <w:rsid w:val="004973E6"/>
    <w:rsid w:val="00497AFD"/>
    <w:rsid w:val="00497BBA"/>
    <w:rsid w:val="00497E50"/>
    <w:rsid w:val="00497E6F"/>
    <w:rsid w:val="00497F19"/>
    <w:rsid w:val="004A03E7"/>
    <w:rsid w:val="004A1135"/>
    <w:rsid w:val="004A1462"/>
    <w:rsid w:val="004A169C"/>
    <w:rsid w:val="004A272D"/>
    <w:rsid w:val="004A2782"/>
    <w:rsid w:val="004A3570"/>
    <w:rsid w:val="004A35BB"/>
    <w:rsid w:val="004A3A8F"/>
    <w:rsid w:val="004A4A69"/>
    <w:rsid w:val="004A4C5F"/>
    <w:rsid w:val="004A5D95"/>
    <w:rsid w:val="004A7C1F"/>
    <w:rsid w:val="004A7D31"/>
    <w:rsid w:val="004B0106"/>
    <w:rsid w:val="004B1064"/>
    <w:rsid w:val="004B15F0"/>
    <w:rsid w:val="004B1DB1"/>
    <w:rsid w:val="004B2824"/>
    <w:rsid w:val="004B2CE1"/>
    <w:rsid w:val="004B3C34"/>
    <w:rsid w:val="004B4241"/>
    <w:rsid w:val="004B42CA"/>
    <w:rsid w:val="004B5174"/>
    <w:rsid w:val="004B597F"/>
    <w:rsid w:val="004B59C0"/>
    <w:rsid w:val="004B6F2D"/>
    <w:rsid w:val="004B7105"/>
    <w:rsid w:val="004B74CB"/>
    <w:rsid w:val="004C05FA"/>
    <w:rsid w:val="004C0B07"/>
    <w:rsid w:val="004C1079"/>
    <w:rsid w:val="004C1697"/>
    <w:rsid w:val="004C1909"/>
    <w:rsid w:val="004C1A9D"/>
    <w:rsid w:val="004C1CA2"/>
    <w:rsid w:val="004C2270"/>
    <w:rsid w:val="004C2473"/>
    <w:rsid w:val="004C2694"/>
    <w:rsid w:val="004C2871"/>
    <w:rsid w:val="004C3129"/>
    <w:rsid w:val="004C32EB"/>
    <w:rsid w:val="004C333F"/>
    <w:rsid w:val="004C33BC"/>
    <w:rsid w:val="004C360D"/>
    <w:rsid w:val="004C5824"/>
    <w:rsid w:val="004C59CF"/>
    <w:rsid w:val="004C5D43"/>
    <w:rsid w:val="004C61F6"/>
    <w:rsid w:val="004C6224"/>
    <w:rsid w:val="004C6360"/>
    <w:rsid w:val="004C6556"/>
    <w:rsid w:val="004C6BAC"/>
    <w:rsid w:val="004C6F8E"/>
    <w:rsid w:val="004C6FE4"/>
    <w:rsid w:val="004C729A"/>
    <w:rsid w:val="004D01C2"/>
    <w:rsid w:val="004D0C5B"/>
    <w:rsid w:val="004D0D21"/>
    <w:rsid w:val="004D0EA8"/>
    <w:rsid w:val="004D138A"/>
    <w:rsid w:val="004D17B4"/>
    <w:rsid w:val="004D1E91"/>
    <w:rsid w:val="004D1EF2"/>
    <w:rsid w:val="004D20A8"/>
    <w:rsid w:val="004D26A6"/>
    <w:rsid w:val="004D2AC7"/>
    <w:rsid w:val="004D2C53"/>
    <w:rsid w:val="004D41B8"/>
    <w:rsid w:val="004D4208"/>
    <w:rsid w:val="004D53B6"/>
    <w:rsid w:val="004D62EA"/>
    <w:rsid w:val="004D6D4B"/>
    <w:rsid w:val="004D72E8"/>
    <w:rsid w:val="004D7864"/>
    <w:rsid w:val="004E1026"/>
    <w:rsid w:val="004E152F"/>
    <w:rsid w:val="004E198A"/>
    <w:rsid w:val="004E19FC"/>
    <w:rsid w:val="004E1A32"/>
    <w:rsid w:val="004E20A3"/>
    <w:rsid w:val="004E22FD"/>
    <w:rsid w:val="004E288A"/>
    <w:rsid w:val="004E447C"/>
    <w:rsid w:val="004E5095"/>
    <w:rsid w:val="004E574D"/>
    <w:rsid w:val="004E5F91"/>
    <w:rsid w:val="004E5FC5"/>
    <w:rsid w:val="004E724B"/>
    <w:rsid w:val="004F39C7"/>
    <w:rsid w:val="004F3C1E"/>
    <w:rsid w:val="004F4015"/>
    <w:rsid w:val="004F4244"/>
    <w:rsid w:val="004F4412"/>
    <w:rsid w:val="004F4C9C"/>
    <w:rsid w:val="004F600D"/>
    <w:rsid w:val="004F6221"/>
    <w:rsid w:val="004F6429"/>
    <w:rsid w:val="004F76F9"/>
    <w:rsid w:val="004F7D31"/>
    <w:rsid w:val="00500AD2"/>
    <w:rsid w:val="00501265"/>
    <w:rsid w:val="00501CE0"/>
    <w:rsid w:val="00501D2F"/>
    <w:rsid w:val="005023F0"/>
    <w:rsid w:val="00502405"/>
    <w:rsid w:val="00502D39"/>
    <w:rsid w:val="00503B2C"/>
    <w:rsid w:val="0050522F"/>
    <w:rsid w:val="0050528B"/>
    <w:rsid w:val="00505624"/>
    <w:rsid w:val="00505B88"/>
    <w:rsid w:val="00505D4A"/>
    <w:rsid w:val="00505DF7"/>
    <w:rsid w:val="00506AE1"/>
    <w:rsid w:val="00506CE0"/>
    <w:rsid w:val="00507B71"/>
    <w:rsid w:val="00510076"/>
    <w:rsid w:val="005110E1"/>
    <w:rsid w:val="00511450"/>
    <w:rsid w:val="00511778"/>
    <w:rsid w:val="00511DF7"/>
    <w:rsid w:val="00512843"/>
    <w:rsid w:val="00512A74"/>
    <w:rsid w:val="00512EF5"/>
    <w:rsid w:val="0051344B"/>
    <w:rsid w:val="00513556"/>
    <w:rsid w:val="00513E51"/>
    <w:rsid w:val="00514C2A"/>
    <w:rsid w:val="00514ECB"/>
    <w:rsid w:val="005152A5"/>
    <w:rsid w:val="00515738"/>
    <w:rsid w:val="00516A27"/>
    <w:rsid w:val="00516AB2"/>
    <w:rsid w:val="005175F6"/>
    <w:rsid w:val="005211DB"/>
    <w:rsid w:val="00521472"/>
    <w:rsid w:val="005215C7"/>
    <w:rsid w:val="00521E9B"/>
    <w:rsid w:val="00521EE4"/>
    <w:rsid w:val="00523172"/>
    <w:rsid w:val="005244BE"/>
    <w:rsid w:val="00524C29"/>
    <w:rsid w:val="00524DBA"/>
    <w:rsid w:val="00525365"/>
    <w:rsid w:val="00525424"/>
    <w:rsid w:val="005301B3"/>
    <w:rsid w:val="005303CC"/>
    <w:rsid w:val="005310B5"/>
    <w:rsid w:val="005312D1"/>
    <w:rsid w:val="0053287D"/>
    <w:rsid w:val="00532C97"/>
    <w:rsid w:val="0053302C"/>
    <w:rsid w:val="0053306B"/>
    <w:rsid w:val="00533B17"/>
    <w:rsid w:val="00533FF3"/>
    <w:rsid w:val="005345E8"/>
    <w:rsid w:val="00534DCA"/>
    <w:rsid w:val="00535AD7"/>
    <w:rsid w:val="00535B0B"/>
    <w:rsid w:val="00535EEE"/>
    <w:rsid w:val="0053606D"/>
    <w:rsid w:val="0053630C"/>
    <w:rsid w:val="00536D1D"/>
    <w:rsid w:val="00536E1F"/>
    <w:rsid w:val="0053788C"/>
    <w:rsid w:val="00540697"/>
    <w:rsid w:val="00542734"/>
    <w:rsid w:val="005431F5"/>
    <w:rsid w:val="00543FE8"/>
    <w:rsid w:val="00544678"/>
    <w:rsid w:val="00544EE2"/>
    <w:rsid w:val="0054595C"/>
    <w:rsid w:val="00545BA3"/>
    <w:rsid w:val="0054612E"/>
    <w:rsid w:val="00550989"/>
    <w:rsid w:val="0055150C"/>
    <w:rsid w:val="005519E0"/>
    <w:rsid w:val="00551DB5"/>
    <w:rsid w:val="00552A56"/>
    <w:rsid w:val="00552D58"/>
    <w:rsid w:val="00553033"/>
    <w:rsid w:val="005536CD"/>
    <w:rsid w:val="0055385B"/>
    <w:rsid w:val="005544EE"/>
    <w:rsid w:val="00554B9F"/>
    <w:rsid w:val="005554F4"/>
    <w:rsid w:val="0055559C"/>
    <w:rsid w:val="005559CD"/>
    <w:rsid w:val="00555C0A"/>
    <w:rsid w:val="00555EBC"/>
    <w:rsid w:val="00555F56"/>
    <w:rsid w:val="005560F5"/>
    <w:rsid w:val="00556377"/>
    <w:rsid w:val="00557845"/>
    <w:rsid w:val="00557BA6"/>
    <w:rsid w:val="0056023E"/>
    <w:rsid w:val="0056029D"/>
    <w:rsid w:val="005602AE"/>
    <w:rsid w:val="00560666"/>
    <w:rsid w:val="005614A9"/>
    <w:rsid w:val="00561E0C"/>
    <w:rsid w:val="0056359F"/>
    <w:rsid w:val="00564394"/>
    <w:rsid w:val="00565BED"/>
    <w:rsid w:val="00565C86"/>
    <w:rsid w:val="00565CB1"/>
    <w:rsid w:val="00565CD5"/>
    <w:rsid w:val="0056616C"/>
    <w:rsid w:val="00566555"/>
    <w:rsid w:val="005665C9"/>
    <w:rsid w:val="00566BF9"/>
    <w:rsid w:val="00567592"/>
    <w:rsid w:val="00567CC9"/>
    <w:rsid w:val="00570033"/>
    <w:rsid w:val="0057065A"/>
    <w:rsid w:val="00570861"/>
    <w:rsid w:val="00571A07"/>
    <w:rsid w:val="005720DD"/>
    <w:rsid w:val="00572113"/>
    <w:rsid w:val="005727BC"/>
    <w:rsid w:val="00572AA7"/>
    <w:rsid w:val="00574002"/>
    <w:rsid w:val="005761C6"/>
    <w:rsid w:val="00576BC5"/>
    <w:rsid w:val="005773CB"/>
    <w:rsid w:val="00577657"/>
    <w:rsid w:val="00580A70"/>
    <w:rsid w:val="00582924"/>
    <w:rsid w:val="005831A3"/>
    <w:rsid w:val="00583554"/>
    <w:rsid w:val="00583B74"/>
    <w:rsid w:val="00584AFD"/>
    <w:rsid w:val="00585121"/>
    <w:rsid w:val="0058675C"/>
    <w:rsid w:val="00587772"/>
    <w:rsid w:val="0059074F"/>
    <w:rsid w:val="00590F88"/>
    <w:rsid w:val="005912CE"/>
    <w:rsid w:val="005919EC"/>
    <w:rsid w:val="005925E9"/>
    <w:rsid w:val="00592C7A"/>
    <w:rsid w:val="005930A2"/>
    <w:rsid w:val="005931B7"/>
    <w:rsid w:val="005934F7"/>
    <w:rsid w:val="0059405A"/>
    <w:rsid w:val="005944E0"/>
    <w:rsid w:val="0059493D"/>
    <w:rsid w:val="00594A22"/>
    <w:rsid w:val="005951E6"/>
    <w:rsid w:val="00596C87"/>
    <w:rsid w:val="00596D06"/>
    <w:rsid w:val="00597762"/>
    <w:rsid w:val="00597D7C"/>
    <w:rsid w:val="005A029B"/>
    <w:rsid w:val="005A0801"/>
    <w:rsid w:val="005A0B2E"/>
    <w:rsid w:val="005A267E"/>
    <w:rsid w:val="005A3405"/>
    <w:rsid w:val="005A37CC"/>
    <w:rsid w:val="005A4814"/>
    <w:rsid w:val="005A4BA5"/>
    <w:rsid w:val="005A4D6B"/>
    <w:rsid w:val="005A5335"/>
    <w:rsid w:val="005B0365"/>
    <w:rsid w:val="005B056E"/>
    <w:rsid w:val="005B072F"/>
    <w:rsid w:val="005B0885"/>
    <w:rsid w:val="005B127D"/>
    <w:rsid w:val="005B1CBB"/>
    <w:rsid w:val="005B21A7"/>
    <w:rsid w:val="005B3BC8"/>
    <w:rsid w:val="005B3E6A"/>
    <w:rsid w:val="005B4965"/>
    <w:rsid w:val="005B49D4"/>
    <w:rsid w:val="005B5926"/>
    <w:rsid w:val="005B67F9"/>
    <w:rsid w:val="005B6963"/>
    <w:rsid w:val="005B73F5"/>
    <w:rsid w:val="005B7538"/>
    <w:rsid w:val="005B7687"/>
    <w:rsid w:val="005B7903"/>
    <w:rsid w:val="005C057E"/>
    <w:rsid w:val="005C0586"/>
    <w:rsid w:val="005C0E6E"/>
    <w:rsid w:val="005C14BE"/>
    <w:rsid w:val="005C2129"/>
    <w:rsid w:val="005C2244"/>
    <w:rsid w:val="005C2CC1"/>
    <w:rsid w:val="005C2E23"/>
    <w:rsid w:val="005C2EDF"/>
    <w:rsid w:val="005C33BC"/>
    <w:rsid w:val="005C33E7"/>
    <w:rsid w:val="005C3DC2"/>
    <w:rsid w:val="005C3FC8"/>
    <w:rsid w:val="005C5016"/>
    <w:rsid w:val="005C5037"/>
    <w:rsid w:val="005C61F4"/>
    <w:rsid w:val="005C6247"/>
    <w:rsid w:val="005C6637"/>
    <w:rsid w:val="005C74F6"/>
    <w:rsid w:val="005C7A68"/>
    <w:rsid w:val="005D0030"/>
    <w:rsid w:val="005D00D5"/>
    <w:rsid w:val="005D0F7E"/>
    <w:rsid w:val="005D189F"/>
    <w:rsid w:val="005D1901"/>
    <w:rsid w:val="005D2CE1"/>
    <w:rsid w:val="005D2E82"/>
    <w:rsid w:val="005D3385"/>
    <w:rsid w:val="005D35B1"/>
    <w:rsid w:val="005D447F"/>
    <w:rsid w:val="005D46A2"/>
    <w:rsid w:val="005D56F5"/>
    <w:rsid w:val="005D589D"/>
    <w:rsid w:val="005D59B6"/>
    <w:rsid w:val="005D61FB"/>
    <w:rsid w:val="005D664A"/>
    <w:rsid w:val="005D675B"/>
    <w:rsid w:val="005D763A"/>
    <w:rsid w:val="005D7B5D"/>
    <w:rsid w:val="005E0E40"/>
    <w:rsid w:val="005E11BA"/>
    <w:rsid w:val="005E2A79"/>
    <w:rsid w:val="005E2CEC"/>
    <w:rsid w:val="005E3679"/>
    <w:rsid w:val="005E3E13"/>
    <w:rsid w:val="005E4B6F"/>
    <w:rsid w:val="005E4BEE"/>
    <w:rsid w:val="005E590C"/>
    <w:rsid w:val="005E6167"/>
    <w:rsid w:val="005E6380"/>
    <w:rsid w:val="005E6A9B"/>
    <w:rsid w:val="005E6D9D"/>
    <w:rsid w:val="005E7057"/>
    <w:rsid w:val="005E70BA"/>
    <w:rsid w:val="005F0661"/>
    <w:rsid w:val="005F0E9E"/>
    <w:rsid w:val="005F236A"/>
    <w:rsid w:val="005F25E8"/>
    <w:rsid w:val="005F2F37"/>
    <w:rsid w:val="005F368E"/>
    <w:rsid w:val="005F3AFD"/>
    <w:rsid w:val="005F5563"/>
    <w:rsid w:val="005F567F"/>
    <w:rsid w:val="005F5863"/>
    <w:rsid w:val="005F5E08"/>
    <w:rsid w:val="005F6FA7"/>
    <w:rsid w:val="0060090E"/>
    <w:rsid w:val="00601C89"/>
    <w:rsid w:val="00601F9D"/>
    <w:rsid w:val="00601FEE"/>
    <w:rsid w:val="00602846"/>
    <w:rsid w:val="00602BC4"/>
    <w:rsid w:val="00602F4C"/>
    <w:rsid w:val="0060307D"/>
    <w:rsid w:val="00603518"/>
    <w:rsid w:val="0060356C"/>
    <w:rsid w:val="006037F7"/>
    <w:rsid w:val="00603E24"/>
    <w:rsid w:val="00604498"/>
    <w:rsid w:val="0060486D"/>
    <w:rsid w:val="0060569E"/>
    <w:rsid w:val="00605D5F"/>
    <w:rsid w:val="00605E02"/>
    <w:rsid w:val="006065CC"/>
    <w:rsid w:val="00607154"/>
    <w:rsid w:val="006073F5"/>
    <w:rsid w:val="00607F4E"/>
    <w:rsid w:val="00610578"/>
    <w:rsid w:val="00611258"/>
    <w:rsid w:val="00611649"/>
    <w:rsid w:val="0061177F"/>
    <w:rsid w:val="00611F6B"/>
    <w:rsid w:val="006123EA"/>
    <w:rsid w:val="00612442"/>
    <w:rsid w:val="0061249F"/>
    <w:rsid w:val="00612686"/>
    <w:rsid w:val="00613B17"/>
    <w:rsid w:val="00613E98"/>
    <w:rsid w:val="00615CB0"/>
    <w:rsid w:val="00616397"/>
    <w:rsid w:val="006165CA"/>
    <w:rsid w:val="0061687C"/>
    <w:rsid w:val="006168F7"/>
    <w:rsid w:val="006177A1"/>
    <w:rsid w:val="00617F06"/>
    <w:rsid w:val="006209BA"/>
    <w:rsid w:val="00621745"/>
    <w:rsid w:val="00622713"/>
    <w:rsid w:val="00622A6F"/>
    <w:rsid w:val="00622E09"/>
    <w:rsid w:val="00623BB5"/>
    <w:rsid w:val="00624556"/>
    <w:rsid w:val="00624B30"/>
    <w:rsid w:val="00624C81"/>
    <w:rsid w:val="00626C75"/>
    <w:rsid w:val="00627502"/>
    <w:rsid w:val="00627574"/>
    <w:rsid w:val="0063000A"/>
    <w:rsid w:val="006310DE"/>
    <w:rsid w:val="00631825"/>
    <w:rsid w:val="006318EB"/>
    <w:rsid w:val="00631973"/>
    <w:rsid w:val="006320A5"/>
    <w:rsid w:val="006330C5"/>
    <w:rsid w:val="0063345B"/>
    <w:rsid w:val="00633749"/>
    <w:rsid w:val="00633BC6"/>
    <w:rsid w:val="00634624"/>
    <w:rsid w:val="00635801"/>
    <w:rsid w:val="00635D7A"/>
    <w:rsid w:val="00636973"/>
    <w:rsid w:val="006376AB"/>
    <w:rsid w:val="006416A8"/>
    <w:rsid w:val="00641BAA"/>
    <w:rsid w:val="00642A4D"/>
    <w:rsid w:val="00642BDE"/>
    <w:rsid w:val="00642E1B"/>
    <w:rsid w:val="00642E22"/>
    <w:rsid w:val="0064396D"/>
    <w:rsid w:val="00644215"/>
    <w:rsid w:val="00644330"/>
    <w:rsid w:val="00644D28"/>
    <w:rsid w:val="00645281"/>
    <w:rsid w:val="00645384"/>
    <w:rsid w:val="006454B9"/>
    <w:rsid w:val="00645BB6"/>
    <w:rsid w:val="00645C0A"/>
    <w:rsid w:val="00646D53"/>
    <w:rsid w:val="00646E92"/>
    <w:rsid w:val="00650597"/>
    <w:rsid w:val="00650843"/>
    <w:rsid w:val="00650A77"/>
    <w:rsid w:val="00651CCD"/>
    <w:rsid w:val="00652300"/>
    <w:rsid w:val="006525C7"/>
    <w:rsid w:val="006526E4"/>
    <w:rsid w:val="006545DD"/>
    <w:rsid w:val="0065485D"/>
    <w:rsid w:val="00654ABF"/>
    <w:rsid w:val="00654B3D"/>
    <w:rsid w:val="0065529E"/>
    <w:rsid w:val="006556C5"/>
    <w:rsid w:val="00656AF4"/>
    <w:rsid w:val="0065702E"/>
    <w:rsid w:val="006570AD"/>
    <w:rsid w:val="006578BB"/>
    <w:rsid w:val="0066006A"/>
    <w:rsid w:val="006600A3"/>
    <w:rsid w:val="006610E3"/>
    <w:rsid w:val="00661FBC"/>
    <w:rsid w:val="00661FC2"/>
    <w:rsid w:val="00662C96"/>
    <w:rsid w:val="00662ECB"/>
    <w:rsid w:val="00662FAE"/>
    <w:rsid w:val="00663B1C"/>
    <w:rsid w:val="00663EBF"/>
    <w:rsid w:val="006644A6"/>
    <w:rsid w:val="006658DB"/>
    <w:rsid w:val="00665995"/>
    <w:rsid w:val="00665EC9"/>
    <w:rsid w:val="00666901"/>
    <w:rsid w:val="0066724A"/>
    <w:rsid w:val="00667AEE"/>
    <w:rsid w:val="00667D27"/>
    <w:rsid w:val="0067002D"/>
    <w:rsid w:val="00670305"/>
    <w:rsid w:val="00670363"/>
    <w:rsid w:val="006716D6"/>
    <w:rsid w:val="006731F7"/>
    <w:rsid w:val="00674025"/>
    <w:rsid w:val="006751B6"/>
    <w:rsid w:val="006755C5"/>
    <w:rsid w:val="00677A63"/>
    <w:rsid w:val="00677F22"/>
    <w:rsid w:val="006805AE"/>
    <w:rsid w:val="00680E76"/>
    <w:rsid w:val="006818B4"/>
    <w:rsid w:val="006822C8"/>
    <w:rsid w:val="0068262A"/>
    <w:rsid w:val="0068384F"/>
    <w:rsid w:val="00683FBE"/>
    <w:rsid w:val="006851C0"/>
    <w:rsid w:val="00685B04"/>
    <w:rsid w:val="00685C06"/>
    <w:rsid w:val="00686574"/>
    <w:rsid w:val="006866AF"/>
    <w:rsid w:val="00686807"/>
    <w:rsid w:val="00686FD2"/>
    <w:rsid w:val="0068719E"/>
    <w:rsid w:val="0068725D"/>
    <w:rsid w:val="00687FA4"/>
    <w:rsid w:val="0069080E"/>
    <w:rsid w:val="006908F5"/>
    <w:rsid w:val="0069191F"/>
    <w:rsid w:val="006927FB"/>
    <w:rsid w:val="006934C4"/>
    <w:rsid w:val="00693967"/>
    <w:rsid w:val="00693F9B"/>
    <w:rsid w:val="006944EB"/>
    <w:rsid w:val="00694FD9"/>
    <w:rsid w:val="00695FDA"/>
    <w:rsid w:val="00696796"/>
    <w:rsid w:val="00697822"/>
    <w:rsid w:val="00697FF7"/>
    <w:rsid w:val="006A1AA1"/>
    <w:rsid w:val="006A1E8C"/>
    <w:rsid w:val="006A2086"/>
    <w:rsid w:val="006A2567"/>
    <w:rsid w:val="006A3105"/>
    <w:rsid w:val="006A3631"/>
    <w:rsid w:val="006A38D2"/>
    <w:rsid w:val="006A3B63"/>
    <w:rsid w:val="006A4C5F"/>
    <w:rsid w:val="006A4D87"/>
    <w:rsid w:val="006A628B"/>
    <w:rsid w:val="006A6616"/>
    <w:rsid w:val="006A6A0E"/>
    <w:rsid w:val="006A6DEC"/>
    <w:rsid w:val="006A6E25"/>
    <w:rsid w:val="006A77A0"/>
    <w:rsid w:val="006A7FB0"/>
    <w:rsid w:val="006B0230"/>
    <w:rsid w:val="006B0772"/>
    <w:rsid w:val="006B16B4"/>
    <w:rsid w:val="006B1AF2"/>
    <w:rsid w:val="006B1F4A"/>
    <w:rsid w:val="006B2554"/>
    <w:rsid w:val="006B4183"/>
    <w:rsid w:val="006B5C4D"/>
    <w:rsid w:val="006B6CA4"/>
    <w:rsid w:val="006B73C5"/>
    <w:rsid w:val="006B755A"/>
    <w:rsid w:val="006B79F9"/>
    <w:rsid w:val="006C0CC6"/>
    <w:rsid w:val="006C106F"/>
    <w:rsid w:val="006C2AE1"/>
    <w:rsid w:val="006C307E"/>
    <w:rsid w:val="006C49B2"/>
    <w:rsid w:val="006C4E3F"/>
    <w:rsid w:val="006C51F1"/>
    <w:rsid w:val="006C5AC5"/>
    <w:rsid w:val="006C7082"/>
    <w:rsid w:val="006C75FB"/>
    <w:rsid w:val="006C768F"/>
    <w:rsid w:val="006C778F"/>
    <w:rsid w:val="006C785A"/>
    <w:rsid w:val="006D04F5"/>
    <w:rsid w:val="006D0574"/>
    <w:rsid w:val="006D0C49"/>
    <w:rsid w:val="006D1C24"/>
    <w:rsid w:val="006D1E66"/>
    <w:rsid w:val="006D2023"/>
    <w:rsid w:val="006D280B"/>
    <w:rsid w:val="006D2A16"/>
    <w:rsid w:val="006D330B"/>
    <w:rsid w:val="006D4ED9"/>
    <w:rsid w:val="006D5300"/>
    <w:rsid w:val="006D63DE"/>
    <w:rsid w:val="006D6B63"/>
    <w:rsid w:val="006D75C7"/>
    <w:rsid w:val="006D7EF1"/>
    <w:rsid w:val="006E2323"/>
    <w:rsid w:val="006E24F6"/>
    <w:rsid w:val="006E2612"/>
    <w:rsid w:val="006E2A70"/>
    <w:rsid w:val="006E321B"/>
    <w:rsid w:val="006E32BC"/>
    <w:rsid w:val="006E3517"/>
    <w:rsid w:val="006E3628"/>
    <w:rsid w:val="006E5661"/>
    <w:rsid w:val="006E5A95"/>
    <w:rsid w:val="006E71B5"/>
    <w:rsid w:val="006F124E"/>
    <w:rsid w:val="006F17B4"/>
    <w:rsid w:val="006F1FA2"/>
    <w:rsid w:val="006F2012"/>
    <w:rsid w:val="006F305C"/>
    <w:rsid w:val="006F3221"/>
    <w:rsid w:val="006F5405"/>
    <w:rsid w:val="006F55AF"/>
    <w:rsid w:val="006F55CE"/>
    <w:rsid w:val="006F5BDB"/>
    <w:rsid w:val="006F5F28"/>
    <w:rsid w:val="006F682D"/>
    <w:rsid w:val="006F6EB6"/>
    <w:rsid w:val="006F7C9D"/>
    <w:rsid w:val="0070042F"/>
    <w:rsid w:val="00700AE6"/>
    <w:rsid w:val="00700EEC"/>
    <w:rsid w:val="0070105E"/>
    <w:rsid w:val="0070168E"/>
    <w:rsid w:val="00701CD4"/>
    <w:rsid w:val="00702007"/>
    <w:rsid w:val="00702EB5"/>
    <w:rsid w:val="00703C76"/>
    <w:rsid w:val="00704642"/>
    <w:rsid w:val="00706470"/>
    <w:rsid w:val="0070792D"/>
    <w:rsid w:val="00707AF0"/>
    <w:rsid w:val="00707D7A"/>
    <w:rsid w:val="00710306"/>
    <w:rsid w:val="00711237"/>
    <w:rsid w:val="0071173C"/>
    <w:rsid w:val="007117A6"/>
    <w:rsid w:val="00711C9C"/>
    <w:rsid w:val="00712D25"/>
    <w:rsid w:val="007140EC"/>
    <w:rsid w:val="0071471C"/>
    <w:rsid w:val="00715B00"/>
    <w:rsid w:val="00716C32"/>
    <w:rsid w:val="00716DED"/>
    <w:rsid w:val="00717884"/>
    <w:rsid w:val="007200F8"/>
    <w:rsid w:val="007202B4"/>
    <w:rsid w:val="00720B25"/>
    <w:rsid w:val="00721B64"/>
    <w:rsid w:val="00721D22"/>
    <w:rsid w:val="0072210E"/>
    <w:rsid w:val="00722237"/>
    <w:rsid w:val="00722F83"/>
    <w:rsid w:val="00723254"/>
    <w:rsid w:val="0072339C"/>
    <w:rsid w:val="00723668"/>
    <w:rsid w:val="007237FB"/>
    <w:rsid w:val="00723885"/>
    <w:rsid w:val="00723B49"/>
    <w:rsid w:val="007258CF"/>
    <w:rsid w:val="007258E2"/>
    <w:rsid w:val="00727008"/>
    <w:rsid w:val="00730317"/>
    <w:rsid w:val="007304EB"/>
    <w:rsid w:val="00730622"/>
    <w:rsid w:val="00730EEC"/>
    <w:rsid w:val="00731F63"/>
    <w:rsid w:val="00732297"/>
    <w:rsid w:val="007323A8"/>
    <w:rsid w:val="00732779"/>
    <w:rsid w:val="007335CE"/>
    <w:rsid w:val="00734E56"/>
    <w:rsid w:val="00734EE0"/>
    <w:rsid w:val="00735050"/>
    <w:rsid w:val="007353A9"/>
    <w:rsid w:val="00735816"/>
    <w:rsid w:val="00740802"/>
    <w:rsid w:val="007417BE"/>
    <w:rsid w:val="00741BB2"/>
    <w:rsid w:val="00742784"/>
    <w:rsid w:val="0074316B"/>
    <w:rsid w:val="00743E45"/>
    <w:rsid w:val="007460A8"/>
    <w:rsid w:val="00746C50"/>
    <w:rsid w:val="007472C3"/>
    <w:rsid w:val="00747440"/>
    <w:rsid w:val="00747BBD"/>
    <w:rsid w:val="00747F19"/>
    <w:rsid w:val="007502A1"/>
    <w:rsid w:val="00750915"/>
    <w:rsid w:val="00750A42"/>
    <w:rsid w:val="00750B42"/>
    <w:rsid w:val="007517C2"/>
    <w:rsid w:val="00752FA3"/>
    <w:rsid w:val="007534EC"/>
    <w:rsid w:val="00755629"/>
    <w:rsid w:val="00755715"/>
    <w:rsid w:val="00755891"/>
    <w:rsid w:val="00755B87"/>
    <w:rsid w:val="00756B6D"/>
    <w:rsid w:val="00757F36"/>
    <w:rsid w:val="00760ABF"/>
    <w:rsid w:val="00760EC9"/>
    <w:rsid w:val="007612B1"/>
    <w:rsid w:val="00761300"/>
    <w:rsid w:val="00761A0B"/>
    <w:rsid w:val="00762E37"/>
    <w:rsid w:val="0076304D"/>
    <w:rsid w:val="0076338A"/>
    <w:rsid w:val="00763C7C"/>
    <w:rsid w:val="00764367"/>
    <w:rsid w:val="0076455E"/>
    <w:rsid w:val="00764A32"/>
    <w:rsid w:val="00764BF3"/>
    <w:rsid w:val="00764F7C"/>
    <w:rsid w:val="0076502C"/>
    <w:rsid w:val="00765734"/>
    <w:rsid w:val="00765E46"/>
    <w:rsid w:val="00767565"/>
    <w:rsid w:val="00767DAB"/>
    <w:rsid w:val="007701CA"/>
    <w:rsid w:val="00771099"/>
    <w:rsid w:val="007722F0"/>
    <w:rsid w:val="007726CF"/>
    <w:rsid w:val="007728DE"/>
    <w:rsid w:val="00772CD8"/>
    <w:rsid w:val="00772EFF"/>
    <w:rsid w:val="007731B4"/>
    <w:rsid w:val="0077499E"/>
    <w:rsid w:val="00774EC4"/>
    <w:rsid w:val="00774F01"/>
    <w:rsid w:val="00774F2F"/>
    <w:rsid w:val="007751FE"/>
    <w:rsid w:val="00776056"/>
    <w:rsid w:val="00776148"/>
    <w:rsid w:val="00776EA5"/>
    <w:rsid w:val="007773A5"/>
    <w:rsid w:val="0077763C"/>
    <w:rsid w:val="00777E9B"/>
    <w:rsid w:val="0078017C"/>
    <w:rsid w:val="007804E5"/>
    <w:rsid w:val="0078110E"/>
    <w:rsid w:val="00781D52"/>
    <w:rsid w:val="0078233E"/>
    <w:rsid w:val="007829A4"/>
    <w:rsid w:val="00782A24"/>
    <w:rsid w:val="00782D88"/>
    <w:rsid w:val="00783611"/>
    <w:rsid w:val="00784362"/>
    <w:rsid w:val="007855C5"/>
    <w:rsid w:val="00785DEB"/>
    <w:rsid w:val="007863A8"/>
    <w:rsid w:val="00787A04"/>
    <w:rsid w:val="00787FDC"/>
    <w:rsid w:val="007905A8"/>
    <w:rsid w:val="00790B2E"/>
    <w:rsid w:val="00791FCE"/>
    <w:rsid w:val="00792D2A"/>
    <w:rsid w:val="00793C0F"/>
    <w:rsid w:val="00793C49"/>
    <w:rsid w:val="00794304"/>
    <w:rsid w:val="00795FEB"/>
    <w:rsid w:val="00797310"/>
    <w:rsid w:val="0079755B"/>
    <w:rsid w:val="00797C7B"/>
    <w:rsid w:val="007A0047"/>
    <w:rsid w:val="007A089D"/>
    <w:rsid w:val="007A0F83"/>
    <w:rsid w:val="007A2BDC"/>
    <w:rsid w:val="007A3C76"/>
    <w:rsid w:val="007A45BF"/>
    <w:rsid w:val="007A490C"/>
    <w:rsid w:val="007A64C2"/>
    <w:rsid w:val="007B022A"/>
    <w:rsid w:val="007B0430"/>
    <w:rsid w:val="007B077D"/>
    <w:rsid w:val="007B09A4"/>
    <w:rsid w:val="007B0B6D"/>
    <w:rsid w:val="007B1CAF"/>
    <w:rsid w:val="007B2D0C"/>
    <w:rsid w:val="007B4698"/>
    <w:rsid w:val="007B5E81"/>
    <w:rsid w:val="007B6017"/>
    <w:rsid w:val="007B741F"/>
    <w:rsid w:val="007B796A"/>
    <w:rsid w:val="007B7DFB"/>
    <w:rsid w:val="007C0A8E"/>
    <w:rsid w:val="007C1843"/>
    <w:rsid w:val="007C2342"/>
    <w:rsid w:val="007C2782"/>
    <w:rsid w:val="007C2B86"/>
    <w:rsid w:val="007C2BE7"/>
    <w:rsid w:val="007C2DD7"/>
    <w:rsid w:val="007C3116"/>
    <w:rsid w:val="007C3125"/>
    <w:rsid w:val="007C3877"/>
    <w:rsid w:val="007C4629"/>
    <w:rsid w:val="007C483B"/>
    <w:rsid w:val="007C51F5"/>
    <w:rsid w:val="007C581A"/>
    <w:rsid w:val="007C7391"/>
    <w:rsid w:val="007C7C7A"/>
    <w:rsid w:val="007C7FA3"/>
    <w:rsid w:val="007D0027"/>
    <w:rsid w:val="007D164B"/>
    <w:rsid w:val="007D19DB"/>
    <w:rsid w:val="007D223C"/>
    <w:rsid w:val="007D2746"/>
    <w:rsid w:val="007D31B0"/>
    <w:rsid w:val="007D4A74"/>
    <w:rsid w:val="007D6168"/>
    <w:rsid w:val="007D736B"/>
    <w:rsid w:val="007D7497"/>
    <w:rsid w:val="007D7F26"/>
    <w:rsid w:val="007E024B"/>
    <w:rsid w:val="007E1F5B"/>
    <w:rsid w:val="007E2549"/>
    <w:rsid w:val="007E260B"/>
    <w:rsid w:val="007E2F3B"/>
    <w:rsid w:val="007E30D2"/>
    <w:rsid w:val="007E3410"/>
    <w:rsid w:val="007E3422"/>
    <w:rsid w:val="007E408C"/>
    <w:rsid w:val="007E4E73"/>
    <w:rsid w:val="007E5A3C"/>
    <w:rsid w:val="007E5E12"/>
    <w:rsid w:val="007E63D7"/>
    <w:rsid w:val="007E64A2"/>
    <w:rsid w:val="007E6C3C"/>
    <w:rsid w:val="007E728E"/>
    <w:rsid w:val="007E7787"/>
    <w:rsid w:val="007E7DB7"/>
    <w:rsid w:val="007F0117"/>
    <w:rsid w:val="007F0D7E"/>
    <w:rsid w:val="007F164F"/>
    <w:rsid w:val="007F17DD"/>
    <w:rsid w:val="007F25D8"/>
    <w:rsid w:val="007F3026"/>
    <w:rsid w:val="007F31BD"/>
    <w:rsid w:val="007F3492"/>
    <w:rsid w:val="007F6519"/>
    <w:rsid w:val="007F6E8E"/>
    <w:rsid w:val="007F7242"/>
    <w:rsid w:val="00800EA8"/>
    <w:rsid w:val="00801588"/>
    <w:rsid w:val="00801E3E"/>
    <w:rsid w:val="00802770"/>
    <w:rsid w:val="00803559"/>
    <w:rsid w:val="008038AB"/>
    <w:rsid w:val="008044C0"/>
    <w:rsid w:val="0080467D"/>
    <w:rsid w:val="00804BDE"/>
    <w:rsid w:val="008059CC"/>
    <w:rsid w:val="008063D7"/>
    <w:rsid w:val="0080659E"/>
    <w:rsid w:val="00806DF3"/>
    <w:rsid w:val="00810251"/>
    <w:rsid w:val="0081086D"/>
    <w:rsid w:val="00810D14"/>
    <w:rsid w:val="00810D68"/>
    <w:rsid w:val="00811301"/>
    <w:rsid w:val="0081233D"/>
    <w:rsid w:val="008126E1"/>
    <w:rsid w:val="00812859"/>
    <w:rsid w:val="00812CFE"/>
    <w:rsid w:val="00812EFA"/>
    <w:rsid w:val="00813AA0"/>
    <w:rsid w:val="00813C40"/>
    <w:rsid w:val="0081449B"/>
    <w:rsid w:val="008150FC"/>
    <w:rsid w:val="008159AA"/>
    <w:rsid w:val="00816311"/>
    <w:rsid w:val="00816CFC"/>
    <w:rsid w:val="00817422"/>
    <w:rsid w:val="00820E0F"/>
    <w:rsid w:val="00821718"/>
    <w:rsid w:val="008217F2"/>
    <w:rsid w:val="008221B4"/>
    <w:rsid w:val="008236E6"/>
    <w:rsid w:val="00823B08"/>
    <w:rsid w:val="00823B14"/>
    <w:rsid w:val="008241A3"/>
    <w:rsid w:val="00824227"/>
    <w:rsid w:val="00824A25"/>
    <w:rsid w:val="00824B20"/>
    <w:rsid w:val="00824B4F"/>
    <w:rsid w:val="008250F4"/>
    <w:rsid w:val="00825EFE"/>
    <w:rsid w:val="008265DD"/>
    <w:rsid w:val="008270A5"/>
    <w:rsid w:val="00830633"/>
    <w:rsid w:val="00831221"/>
    <w:rsid w:val="0083239A"/>
    <w:rsid w:val="008329B7"/>
    <w:rsid w:val="00833308"/>
    <w:rsid w:val="008333E7"/>
    <w:rsid w:val="008335E3"/>
    <w:rsid w:val="00834499"/>
    <w:rsid w:val="00835852"/>
    <w:rsid w:val="00835878"/>
    <w:rsid w:val="00835B6E"/>
    <w:rsid w:val="00835C78"/>
    <w:rsid w:val="00836A43"/>
    <w:rsid w:val="00837651"/>
    <w:rsid w:val="0083774D"/>
    <w:rsid w:val="00837968"/>
    <w:rsid w:val="0084051A"/>
    <w:rsid w:val="008408DE"/>
    <w:rsid w:val="008411A5"/>
    <w:rsid w:val="008413F9"/>
    <w:rsid w:val="00841AC6"/>
    <w:rsid w:val="00841CB0"/>
    <w:rsid w:val="00841E55"/>
    <w:rsid w:val="008421D1"/>
    <w:rsid w:val="00842331"/>
    <w:rsid w:val="0084239D"/>
    <w:rsid w:val="008424B4"/>
    <w:rsid w:val="00842766"/>
    <w:rsid w:val="008428E3"/>
    <w:rsid w:val="00843CFC"/>
    <w:rsid w:val="00843D41"/>
    <w:rsid w:val="00844056"/>
    <w:rsid w:val="00845026"/>
    <w:rsid w:val="008453E2"/>
    <w:rsid w:val="00845903"/>
    <w:rsid w:val="00846C67"/>
    <w:rsid w:val="0084788B"/>
    <w:rsid w:val="00847DEC"/>
    <w:rsid w:val="00850202"/>
    <w:rsid w:val="00850EE7"/>
    <w:rsid w:val="008511E6"/>
    <w:rsid w:val="0085215F"/>
    <w:rsid w:val="00853CA3"/>
    <w:rsid w:val="0085433C"/>
    <w:rsid w:val="0085612D"/>
    <w:rsid w:val="00856CCA"/>
    <w:rsid w:val="00857095"/>
    <w:rsid w:val="008570A4"/>
    <w:rsid w:val="00860C36"/>
    <w:rsid w:val="00861415"/>
    <w:rsid w:val="00861F6F"/>
    <w:rsid w:val="0086225A"/>
    <w:rsid w:val="008630D4"/>
    <w:rsid w:val="008631DF"/>
    <w:rsid w:val="0086367B"/>
    <w:rsid w:val="00863867"/>
    <w:rsid w:val="00863886"/>
    <w:rsid w:val="0086415C"/>
    <w:rsid w:val="008649E5"/>
    <w:rsid w:val="0086584C"/>
    <w:rsid w:val="00866000"/>
    <w:rsid w:val="00866A4F"/>
    <w:rsid w:val="00866A97"/>
    <w:rsid w:val="00870679"/>
    <w:rsid w:val="00870F69"/>
    <w:rsid w:val="0087179A"/>
    <w:rsid w:val="008718C4"/>
    <w:rsid w:val="0087240F"/>
    <w:rsid w:val="00872425"/>
    <w:rsid w:val="008739ED"/>
    <w:rsid w:val="00873F63"/>
    <w:rsid w:val="0087464B"/>
    <w:rsid w:val="008748AD"/>
    <w:rsid w:val="008768A1"/>
    <w:rsid w:val="008773A7"/>
    <w:rsid w:val="00877BC1"/>
    <w:rsid w:val="00880143"/>
    <w:rsid w:val="00880232"/>
    <w:rsid w:val="00881C2A"/>
    <w:rsid w:val="00881FF9"/>
    <w:rsid w:val="00883528"/>
    <w:rsid w:val="00883884"/>
    <w:rsid w:val="008849C4"/>
    <w:rsid w:val="0088502F"/>
    <w:rsid w:val="008856A5"/>
    <w:rsid w:val="00885C79"/>
    <w:rsid w:val="00885D1D"/>
    <w:rsid w:val="0088602B"/>
    <w:rsid w:val="00886743"/>
    <w:rsid w:val="00886899"/>
    <w:rsid w:val="00886C2E"/>
    <w:rsid w:val="00887274"/>
    <w:rsid w:val="008873BF"/>
    <w:rsid w:val="00887992"/>
    <w:rsid w:val="0089005F"/>
    <w:rsid w:val="008916C1"/>
    <w:rsid w:val="008924AA"/>
    <w:rsid w:val="008935E0"/>
    <w:rsid w:val="00893E77"/>
    <w:rsid w:val="0089415E"/>
    <w:rsid w:val="0089474A"/>
    <w:rsid w:val="008958F8"/>
    <w:rsid w:val="00895FA0"/>
    <w:rsid w:val="008963E8"/>
    <w:rsid w:val="00896DC1"/>
    <w:rsid w:val="00897479"/>
    <w:rsid w:val="00897521"/>
    <w:rsid w:val="00897631"/>
    <w:rsid w:val="00897913"/>
    <w:rsid w:val="00897D60"/>
    <w:rsid w:val="00897DFE"/>
    <w:rsid w:val="008A1476"/>
    <w:rsid w:val="008A1D72"/>
    <w:rsid w:val="008A2507"/>
    <w:rsid w:val="008A29EA"/>
    <w:rsid w:val="008A3105"/>
    <w:rsid w:val="008A4FD6"/>
    <w:rsid w:val="008A5726"/>
    <w:rsid w:val="008A6BFD"/>
    <w:rsid w:val="008A6DF5"/>
    <w:rsid w:val="008A6E3A"/>
    <w:rsid w:val="008A711B"/>
    <w:rsid w:val="008A7C04"/>
    <w:rsid w:val="008B0B23"/>
    <w:rsid w:val="008B0DDF"/>
    <w:rsid w:val="008B12A8"/>
    <w:rsid w:val="008B1C6C"/>
    <w:rsid w:val="008B3839"/>
    <w:rsid w:val="008B3BF4"/>
    <w:rsid w:val="008B47E2"/>
    <w:rsid w:val="008B516D"/>
    <w:rsid w:val="008B6C72"/>
    <w:rsid w:val="008B7E7A"/>
    <w:rsid w:val="008C053B"/>
    <w:rsid w:val="008C06A6"/>
    <w:rsid w:val="008C0EDB"/>
    <w:rsid w:val="008C1A9D"/>
    <w:rsid w:val="008C1C79"/>
    <w:rsid w:val="008C20F9"/>
    <w:rsid w:val="008C22F1"/>
    <w:rsid w:val="008C258E"/>
    <w:rsid w:val="008C25EB"/>
    <w:rsid w:val="008C265F"/>
    <w:rsid w:val="008C29E8"/>
    <w:rsid w:val="008C2FBA"/>
    <w:rsid w:val="008C320A"/>
    <w:rsid w:val="008C393E"/>
    <w:rsid w:val="008C4968"/>
    <w:rsid w:val="008C5F19"/>
    <w:rsid w:val="008C6252"/>
    <w:rsid w:val="008C791E"/>
    <w:rsid w:val="008C7997"/>
    <w:rsid w:val="008D1683"/>
    <w:rsid w:val="008D1B3D"/>
    <w:rsid w:val="008D218A"/>
    <w:rsid w:val="008D2231"/>
    <w:rsid w:val="008D230E"/>
    <w:rsid w:val="008D2F8A"/>
    <w:rsid w:val="008D4451"/>
    <w:rsid w:val="008D4E9C"/>
    <w:rsid w:val="008D50D9"/>
    <w:rsid w:val="008D53E8"/>
    <w:rsid w:val="008D5BAA"/>
    <w:rsid w:val="008D5E6C"/>
    <w:rsid w:val="008D5FFF"/>
    <w:rsid w:val="008D696C"/>
    <w:rsid w:val="008D6B3F"/>
    <w:rsid w:val="008D6C9F"/>
    <w:rsid w:val="008D6E6E"/>
    <w:rsid w:val="008D6F90"/>
    <w:rsid w:val="008D72E5"/>
    <w:rsid w:val="008E139A"/>
    <w:rsid w:val="008E145A"/>
    <w:rsid w:val="008E16A8"/>
    <w:rsid w:val="008E18DE"/>
    <w:rsid w:val="008E26F8"/>
    <w:rsid w:val="008E2803"/>
    <w:rsid w:val="008E2B3B"/>
    <w:rsid w:val="008E34B3"/>
    <w:rsid w:val="008E357B"/>
    <w:rsid w:val="008E4353"/>
    <w:rsid w:val="008E4589"/>
    <w:rsid w:val="008E4C3D"/>
    <w:rsid w:val="008E562F"/>
    <w:rsid w:val="008E569E"/>
    <w:rsid w:val="008E5E35"/>
    <w:rsid w:val="008E5FAD"/>
    <w:rsid w:val="008E66BD"/>
    <w:rsid w:val="008E78B0"/>
    <w:rsid w:val="008F0381"/>
    <w:rsid w:val="008F07F0"/>
    <w:rsid w:val="008F095C"/>
    <w:rsid w:val="008F0D63"/>
    <w:rsid w:val="008F12AF"/>
    <w:rsid w:val="008F144B"/>
    <w:rsid w:val="008F1666"/>
    <w:rsid w:val="008F26FE"/>
    <w:rsid w:val="008F300C"/>
    <w:rsid w:val="008F320C"/>
    <w:rsid w:val="008F3D39"/>
    <w:rsid w:val="008F3E2D"/>
    <w:rsid w:val="008F4148"/>
    <w:rsid w:val="008F673C"/>
    <w:rsid w:val="008F6EB7"/>
    <w:rsid w:val="008F7AB6"/>
    <w:rsid w:val="00900745"/>
    <w:rsid w:val="009008D2"/>
    <w:rsid w:val="009016C6"/>
    <w:rsid w:val="00901E33"/>
    <w:rsid w:val="00902316"/>
    <w:rsid w:val="0090275D"/>
    <w:rsid w:val="0090298F"/>
    <w:rsid w:val="00902B25"/>
    <w:rsid w:val="009044A5"/>
    <w:rsid w:val="00904D4F"/>
    <w:rsid w:val="0090588B"/>
    <w:rsid w:val="00906460"/>
    <w:rsid w:val="009067A8"/>
    <w:rsid w:val="00906850"/>
    <w:rsid w:val="00906BD4"/>
    <w:rsid w:val="00907991"/>
    <w:rsid w:val="00907EB0"/>
    <w:rsid w:val="0091017E"/>
    <w:rsid w:val="009111C4"/>
    <w:rsid w:val="00911C91"/>
    <w:rsid w:val="00912C9B"/>
    <w:rsid w:val="00912DD3"/>
    <w:rsid w:val="00912FBF"/>
    <w:rsid w:val="0091314A"/>
    <w:rsid w:val="00914F40"/>
    <w:rsid w:val="00915135"/>
    <w:rsid w:val="0091513E"/>
    <w:rsid w:val="00915562"/>
    <w:rsid w:val="00915722"/>
    <w:rsid w:val="00915A32"/>
    <w:rsid w:val="00916D35"/>
    <w:rsid w:val="00917151"/>
    <w:rsid w:val="009203E7"/>
    <w:rsid w:val="00920F61"/>
    <w:rsid w:val="00921DC0"/>
    <w:rsid w:val="0092225A"/>
    <w:rsid w:val="00923421"/>
    <w:rsid w:val="009239D1"/>
    <w:rsid w:val="00924F42"/>
    <w:rsid w:val="00925BD0"/>
    <w:rsid w:val="00926477"/>
    <w:rsid w:val="009269D2"/>
    <w:rsid w:val="00927486"/>
    <w:rsid w:val="00927659"/>
    <w:rsid w:val="00927C98"/>
    <w:rsid w:val="00930A26"/>
    <w:rsid w:val="0093141B"/>
    <w:rsid w:val="0093233E"/>
    <w:rsid w:val="00932A83"/>
    <w:rsid w:val="009340CC"/>
    <w:rsid w:val="00934303"/>
    <w:rsid w:val="0093443C"/>
    <w:rsid w:val="00934541"/>
    <w:rsid w:val="00934E31"/>
    <w:rsid w:val="0093569D"/>
    <w:rsid w:val="009358AC"/>
    <w:rsid w:val="00936DFD"/>
    <w:rsid w:val="00936EA5"/>
    <w:rsid w:val="009372B8"/>
    <w:rsid w:val="009378B6"/>
    <w:rsid w:val="00937D3B"/>
    <w:rsid w:val="00937E82"/>
    <w:rsid w:val="00940332"/>
    <w:rsid w:val="0094037D"/>
    <w:rsid w:val="00941246"/>
    <w:rsid w:val="0094157D"/>
    <w:rsid w:val="00943768"/>
    <w:rsid w:val="009437B8"/>
    <w:rsid w:val="00943830"/>
    <w:rsid w:val="00943847"/>
    <w:rsid w:val="00943B7F"/>
    <w:rsid w:val="0094458D"/>
    <w:rsid w:val="00944BAD"/>
    <w:rsid w:val="00945816"/>
    <w:rsid w:val="00945B7B"/>
    <w:rsid w:val="00946388"/>
    <w:rsid w:val="009465D9"/>
    <w:rsid w:val="009468D6"/>
    <w:rsid w:val="00947D3A"/>
    <w:rsid w:val="0095018A"/>
    <w:rsid w:val="0095045D"/>
    <w:rsid w:val="009505D1"/>
    <w:rsid w:val="009505F7"/>
    <w:rsid w:val="00951DB6"/>
    <w:rsid w:val="00952B00"/>
    <w:rsid w:val="00953C5C"/>
    <w:rsid w:val="009542CF"/>
    <w:rsid w:val="00954961"/>
    <w:rsid w:val="00954D14"/>
    <w:rsid w:val="00955735"/>
    <w:rsid w:val="00955D6B"/>
    <w:rsid w:val="00956843"/>
    <w:rsid w:val="009568F0"/>
    <w:rsid w:val="00956B09"/>
    <w:rsid w:val="00956D37"/>
    <w:rsid w:val="0095785E"/>
    <w:rsid w:val="009601AB"/>
    <w:rsid w:val="009607B5"/>
    <w:rsid w:val="00960D72"/>
    <w:rsid w:val="00960FBB"/>
    <w:rsid w:val="009617A9"/>
    <w:rsid w:val="00962485"/>
    <w:rsid w:val="0096299A"/>
    <w:rsid w:val="00962BAC"/>
    <w:rsid w:val="009638C1"/>
    <w:rsid w:val="00963AED"/>
    <w:rsid w:val="00965335"/>
    <w:rsid w:val="009655C6"/>
    <w:rsid w:val="00965C7C"/>
    <w:rsid w:val="00965DD0"/>
    <w:rsid w:val="00966891"/>
    <w:rsid w:val="0096696F"/>
    <w:rsid w:val="00966CF9"/>
    <w:rsid w:val="00966FC3"/>
    <w:rsid w:val="00967879"/>
    <w:rsid w:val="009679CD"/>
    <w:rsid w:val="00967D21"/>
    <w:rsid w:val="00970B3E"/>
    <w:rsid w:val="00971FBE"/>
    <w:rsid w:val="009725CC"/>
    <w:rsid w:val="00973F5C"/>
    <w:rsid w:val="00974955"/>
    <w:rsid w:val="00974FB8"/>
    <w:rsid w:val="009750FA"/>
    <w:rsid w:val="00975D29"/>
    <w:rsid w:val="009762F6"/>
    <w:rsid w:val="0097685D"/>
    <w:rsid w:val="00976945"/>
    <w:rsid w:val="00976CA0"/>
    <w:rsid w:val="00977B53"/>
    <w:rsid w:val="00977DFD"/>
    <w:rsid w:val="00980FA7"/>
    <w:rsid w:val="009812D5"/>
    <w:rsid w:val="00981872"/>
    <w:rsid w:val="00982073"/>
    <w:rsid w:val="009825F7"/>
    <w:rsid w:val="00982965"/>
    <w:rsid w:val="00982F88"/>
    <w:rsid w:val="00984D2B"/>
    <w:rsid w:val="009858A3"/>
    <w:rsid w:val="00985C1F"/>
    <w:rsid w:val="00986752"/>
    <w:rsid w:val="009867B9"/>
    <w:rsid w:val="00990365"/>
    <w:rsid w:val="00990373"/>
    <w:rsid w:val="00990654"/>
    <w:rsid w:val="0099151E"/>
    <w:rsid w:val="009919DA"/>
    <w:rsid w:val="00993454"/>
    <w:rsid w:val="00993EA9"/>
    <w:rsid w:val="00994D6F"/>
    <w:rsid w:val="00994F7D"/>
    <w:rsid w:val="009952AD"/>
    <w:rsid w:val="009952D2"/>
    <w:rsid w:val="00995ED5"/>
    <w:rsid w:val="00995EDA"/>
    <w:rsid w:val="00996252"/>
    <w:rsid w:val="0099680C"/>
    <w:rsid w:val="0099685B"/>
    <w:rsid w:val="00996B9C"/>
    <w:rsid w:val="009970EC"/>
    <w:rsid w:val="0099760B"/>
    <w:rsid w:val="009979D7"/>
    <w:rsid w:val="009A01A3"/>
    <w:rsid w:val="009A083B"/>
    <w:rsid w:val="009A0F50"/>
    <w:rsid w:val="009A1663"/>
    <w:rsid w:val="009A1715"/>
    <w:rsid w:val="009A2336"/>
    <w:rsid w:val="009A27A5"/>
    <w:rsid w:val="009A42FF"/>
    <w:rsid w:val="009A54DF"/>
    <w:rsid w:val="009A5806"/>
    <w:rsid w:val="009A5863"/>
    <w:rsid w:val="009A5B29"/>
    <w:rsid w:val="009A73AB"/>
    <w:rsid w:val="009A75A7"/>
    <w:rsid w:val="009A776D"/>
    <w:rsid w:val="009B0330"/>
    <w:rsid w:val="009B03B2"/>
    <w:rsid w:val="009B0804"/>
    <w:rsid w:val="009B1568"/>
    <w:rsid w:val="009B21A3"/>
    <w:rsid w:val="009B28AD"/>
    <w:rsid w:val="009B2A5D"/>
    <w:rsid w:val="009B3532"/>
    <w:rsid w:val="009B3BEC"/>
    <w:rsid w:val="009B4AAB"/>
    <w:rsid w:val="009B4AC7"/>
    <w:rsid w:val="009B52E9"/>
    <w:rsid w:val="009B5736"/>
    <w:rsid w:val="009B610F"/>
    <w:rsid w:val="009B6561"/>
    <w:rsid w:val="009C1887"/>
    <w:rsid w:val="009C19F3"/>
    <w:rsid w:val="009C2652"/>
    <w:rsid w:val="009C3819"/>
    <w:rsid w:val="009C3B70"/>
    <w:rsid w:val="009C4747"/>
    <w:rsid w:val="009C4C81"/>
    <w:rsid w:val="009C4D6C"/>
    <w:rsid w:val="009C522A"/>
    <w:rsid w:val="009C5F06"/>
    <w:rsid w:val="009C6835"/>
    <w:rsid w:val="009C74D2"/>
    <w:rsid w:val="009D0B77"/>
    <w:rsid w:val="009D0E06"/>
    <w:rsid w:val="009D1797"/>
    <w:rsid w:val="009D1AEE"/>
    <w:rsid w:val="009D2422"/>
    <w:rsid w:val="009D420F"/>
    <w:rsid w:val="009D4779"/>
    <w:rsid w:val="009D51D4"/>
    <w:rsid w:val="009D588C"/>
    <w:rsid w:val="009D6473"/>
    <w:rsid w:val="009D6980"/>
    <w:rsid w:val="009D6A3A"/>
    <w:rsid w:val="009D6B8A"/>
    <w:rsid w:val="009D6BF8"/>
    <w:rsid w:val="009D7070"/>
    <w:rsid w:val="009D7C05"/>
    <w:rsid w:val="009E04BC"/>
    <w:rsid w:val="009E0D91"/>
    <w:rsid w:val="009E1292"/>
    <w:rsid w:val="009E2C02"/>
    <w:rsid w:val="009E3250"/>
    <w:rsid w:val="009E3A74"/>
    <w:rsid w:val="009E3B44"/>
    <w:rsid w:val="009E4500"/>
    <w:rsid w:val="009E4913"/>
    <w:rsid w:val="009E4A69"/>
    <w:rsid w:val="009E4C0D"/>
    <w:rsid w:val="009E4FBD"/>
    <w:rsid w:val="009E5B20"/>
    <w:rsid w:val="009E6A84"/>
    <w:rsid w:val="009E747F"/>
    <w:rsid w:val="009E7B81"/>
    <w:rsid w:val="009F2634"/>
    <w:rsid w:val="009F28D6"/>
    <w:rsid w:val="009F2EDB"/>
    <w:rsid w:val="009F36A0"/>
    <w:rsid w:val="009F3877"/>
    <w:rsid w:val="009F3A1C"/>
    <w:rsid w:val="009F3A55"/>
    <w:rsid w:val="009F3CA2"/>
    <w:rsid w:val="009F4408"/>
    <w:rsid w:val="009F4602"/>
    <w:rsid w:val="009F4807"/>
    <w:rsid w:val="009F5724"/>
    <w:rsid w:val="009F6126"/>
    <w:rsid w:val="009F6EB0"/>
    <w:rsid w:val="009F7055"/>
    <w:rsid w:val="009F744C"/>
    <w:rsid w:val="009F74B9"/>
    <w:rsid w:val="009F777A"/>
    <w:rsid w:val="009F7984"/>
    <w:rsid w:val="00A00015"/>
    <w:rsid w:val="00A00396"/>
    <w:rsid w:val="00A00680"/>
    <w:rsid w:val="00A01639"/>
    <w:rsid w:val="00A01CE2"/>
    <w:rsid w:val="00A039C8"/>
    <w:rsid w:val="00A03AB8"/>
    <w:rsid w:val="00A04E29"/>
    <w:rsid w:val="00A05209"/>
    <w:rsid w:val="00A05E36"/>
    <w:rsid w:val="00A064FF"/>
    <w:rsid w:val="00A06DFD"/>
    <w:rsid w:val="00A07E6D"/>
    <w:rsid w:val="00A13F60"/>
    <w:rsid w:val="00A14F42"/>
    <w:rsid w:val="00A1528E"/>
    <w:rsid w:val="00A152A7"/>
    <w:rsid w:val="00A15355"/>
    <w:rsid w:val="00A15748"/>
    <w:rsid w:val="00A172DE"/>
    <w:rsid w:val="00A209C1"/>
    <w:rsid w:val="00A20EED"/>
    <w:rsid w:val="00A2114F"/>
    <w:rsid w:val="00A2156A"/>
    <w:rsid w:val="00A2233B"/>
    <w:rsid w:val="00A22740"/>
    <w:rsid w:val="00A22778"/>
    <w:rsid w:val="00A227C5"/>
    <w:rsid w:val="00A22986"/>
    <w:rsid w:val="00A229DC"/>
    <w:rsid w:val="00A22D11"/>
    <w:rsid w:val="00A23C94"/>
    <w:rsid w:val="00A249F7"/>
    <w:rsid w:val="00A25E59"/>
    <w:rsid w:val="00A26989"/>
    <w:rsid w:val="00A26C05"/>
    <w:rsid w:val="00A27F5E"/>
    <w:rsid w:val="00A30000"/>
    <w:rsid w:val="00A30881"/>
    <w:rsid w:val="00A30C9C"/>
    <w:rsid w:val="00A30EAD"/>
    <w:rsid w:val="00A312F0"/>
    <w:rsid w:val="00A31EAB"/>
    <w:rsid w:val="00A331F9"/>
    <w:rsid w:val="00A33AC5"/>
    <w:rsid w:val="00A3652E"/>
    <w:rsid w:val="00A366D7"/>
    <w:rsid w:val="00A36701"/>
    <w:rsid w:val="00A367AD"/>
    <w:rsid w:val="00A36A7B"/>
    <w:rsid w:val="00A37C4B"/>
    <w:rsid w:val="00A40A29"/>
    <w:rsid w:val="00A40BD2"/>
    <w:rsid w:val="00A4111B"/>
    <w:rsid w:val="00A41364"/>
    <w:rsid w:val="00A41940"/>
    <w:rsid w:val="00A41A11"/>
    <w:rsid w:val="00A42C92"/>
    <w:rsid w:val="00A42CC0"/>
    <w:rsid w:val="00A43EFE"/>
    <w:rsid w:val="00A452AF"/>
    <w:rsid w:val="00A455F4"/>
    <w:rsid w:val="00A45A2C"/>
    <w:rsid w:val="00A45ABF"/>
    <w:rsid w:val="00A45D2B"/>
    <w:rsid w:val="00A46939"/>
    <w:rsid w:val="00A46B83"/>
    <w:rsid w:val="00A46ED5"/>
    <w:rsid w:val="00A47B26"/>
    <w:rsid w:val="00A505A5"/>
    <w:rsid w:val="00A50D8B"/>
    <w:rsid w:val="00A5100D"/>
    <w:rsid w:val="00A51E8F"/>
    <w:rsid w:val="00A5324B"/>
    <w:rsid w:val="00A54165"/>
    <w:rsid w:val="00A54646"/>
    <w:rsid w:val="00A54F11"/>
    <w:rsid w:val="00A55A7A"/>
    <w:rsid w:val="00A55EB7"/>
    <w:rsid w:val="00A560F5"/>
    <w:rsid w:val="00A564CD"/>
    <w:rsid w:val="00A57A8A"/>
    <w:rsid w:val="00A57B5C"/>
    <w:rsid w:val="00A61D27"/>
    <w:rsid w:val="00A62C16"/>
    <w:rsid w:val="00A63772"/>
    <w:rsid w:val="00A638D9"/>
    <w:rsid w:val="00A639F3"/>
    <w:rsid w:val="00A6446D"/>
    <w:rsid w:val="00A64E89"/>
    <w:rsid w:val="00A65236"/>
    <w:rsid w:val="00A65368"/>
    <w:rsid w:val="00A654F2"/>
    <w:rsid w:val="00A6600B"/>
    <w:rsid w:val="00A667BA"/>
    <w:rsid w:val="00A66B87"/>
    <w:rsid w:val="00A70225"/>
    <w:rsid w:val="00A70425"/>
    <w:rsid w:val="00A70861"/>
    <w:rsid w:val="00A70A4E"/>
    <w:rsid w:val="00A71002"/>
    <w:rsid w:val="00A71417"/>
    <w:rsid w:val="00A7180E"/>
    <w:rsid w:val="00A72B56"/>
    <w:rsid w:val="00A739D9"/>
    <w:rsid w:val="00A73FB8"/>
    <w:rsid w:val="00A740E2"/>
    <w:rsid w:val="00A747B9"/>
    <w:rsid w:val="00A758F8"/>
    <w:rsid w:val="00A7596E"/>
    <w:rsid w:val="00A75DA6"/>
    <w:rsid w:val="00A76BBA"/>
    <w:rsid w:val="00A81062"/>
    <w:rsid w:val="00A81A6A"/>
    <w:rsid w:val="00A81BA6"/>
    <w:rsid w:val="00A82411"/>
    <w:rsid w:val="00A827FB"/>
    <w:rsid w:val="00A8358A"/>
    <w:rsid w:val="00A83851"/>
    <w:rsid w:val="00A83B57"/>
    <w:rsid w:val="00A84B73"/>
    <w:rsid w:val="00A84F15"/>
    <w:rsid w:val="00A85454"/>
    <w:rsid w:val="00A861DB"/>
    <w:rsid w:val="00A8662A"/>
    <w:rsid w:val="00A871E5"/>
    <w:rsid w:val="00A876EC"/>
    <w:rsid w:val="00A90419"/>
    <w:rsid w:val="00A90B4E"/>
    <w:rsid w:val="00A90CD3"/>
    <w:rsid w:val="00A90DFB"/>
    <w:rsid w:val="00A9115B"/>
    <w:rsid w:val="00A91BB7"/>
    <w:rsid w:val="00A92BA5"/>
    <w:rsid w:val="00A93A68"/>
    <w:rsid w:val="00A94871"/>
    <w:rsid w:val="00A94C6E"/>
    <w:rsid w:val="00A9589A"/>
    <w:rsid w:val="00A9592B"/>
    <w:rsid w:val="00A95C52"/>
    <w:rsid w:val="00A974CE"/>
    <w:rsid w:val="00A97A5C"/>
    <w:rsid w:val="00AA07A0"/>
    <w:rsid w:val="00AA091B"/>
    <w:rsid w:val="00AA1EDC"/>
    <w:rsid w:val="00AA235C"/>
    <w:rsid w:val="00AA2C9F"/>
    <w:rsid w:val="00AA34E3"/>
    <w:rsid w:val="00AA35B7"/>
    <w:rsid w:val="00AA3E2D"/>
    <w:rsid w:val="00AA3FB8"/>
    <w:rsid w:val="00AA4DD8"/>
    <w:rsid w:val="00AA6A8C"/>
    <w:rsid w:val="00AA7214"/>
    <w:rsid w:val="00AA7E58"/>
    <w:rsid w:val="00AA7E98"/>
    <w:rsid w:val="00AB24D0"/>
    <w:rsid w:val="00AB28C8"/>
    <w:rsid w:val="00AB2AEC"/>
    <w:rsid w:val="00AB2B9D"/>
    <w:rsid w:val="00AB3272"/>
    <w:rsid w:val="00AB4C33"/>
    <w:rsid w:val="00AB4C6D"/>
    <w:rsid w:val="00AB4F46"/>
    <w:rsid w:val="00AB754B"/>
    <w:rsid w:val="00AC17A0"/>
    <w:rsid w:val="00AC305A"/>
    <w:rsid w:val="00AC314E"/>
    <w:rsid w:val="00AC41E4"/>
    <w:rsid w:val="00AC472B"/>
    <w:rsid w:val="00AC5836"/>
    <w:rsid w:val="00AC5C7A"/>
    <w:rsid w:val="00AC6737"/>
    <w:rsid w:val="00AD08D4"/>
    <w:rsid w:val="00AD0AA0"/>
    <w:rsid w:val="00AD0F2A"/>
    <w:rsid w:val="00AD1864"/>
    <w:rsid w:val="00AD18CA"/>
    <w:rsid w:val="00AD24BB"/>
    <w:rsid w:val="00AD27B9"/>
    <w:rsid w:val="00AD2B11"/>
    <w:rsid w:val="00AD42B1"/>
    <w:rsid w:val="00AD4B7C"/>
    <w:rsid w:val="00AD57C4"/>
    <w:rsid w:val="00AD61E2"/>
    <w:rsid w:val="00AD7134"/>
    <w:rsid w:val="00AD7226"/>
    <w:rsid w:val="00AD73BA"/>
    <w:rsid w:val="00AE0965"/>
    <w:rsid w:val="00AE0ACC"/>
    <w:rsid w:val="00AE0ECA"/>
    <w:rsid w:val="00AE1A96"/>
    <w:rsid w:val="00AE1DC0"/>
    <w:rsid w:val="00AE3709"/>
    <w:rsid w:val="00AE3AA7"/>
    <w:rsid w:val="00AE3BE1"/>
    <w:rsid w:val="00AE3FF9"/>
    <w:rsid w:val="00AE4681"/>
    <w:rsid w:val="00AE4C1F"/>
    <w:rsid w:val="00AE504F"/>
    <w:rsid w:val="00AE5D56"/>
    <w:rsid w:val="00AE6660"/>
    <w:rsid w:val="00AE6F4E"/>
    <w:rsid w:val="00AE74BF"/>
    <w:rsid w:val="00AF0556"/>
    <w:rsid w:val="00AF0F4B"/>
    <w:rsid w:val="00AF100B"/>
    <w:rsid w:val="00AF1100"/>
    <w:rsid w:val="00AF1264"/>
    <w:rsid w:val="00AF1CF3"/>
    <w:rsid w:val="00AF28E4"/>
    <w:rsid w:val="00AF3B4E"/>
    <w:rsid w:val="00AF43BC"/>
    <w:rsid w:val="00AF4DC9"/>
    <w:rsid w:val="00AF4E3E"/>
    <w:rsid w:val="00AF61E7"/>
    <w:rsid w:val="00AF6CDD"/>
    <w:rsid w:val="00AF6FA0"/>
    <w:rsid w:val="00B00F7C"/>
    <w:rsid w:val="00B016A5"/>
    <w:rsid w:val="00B02646"/>
    <w:rsid w:val="00B0267E"/>
    <w:rsid w:val="00B028EB"/>
    <w:rsid w:val="00B029DB"/>
    <w:rsid w:val="00B034B0"/>
    <w:rsid w:val="00B05044"/>
    <w:rsid w:val="00B0607E"/>
    <w:rsid w:val="00B06120"/>
    <w:rsid w:val="00B061E6"/>
    <w:rsid w:val="00B06835"/>
    <w:rsid w:val="00B06AB5"/>
    <w:rsid w:val="00B07614"/>
    <w:rsid w:val="00B0793B"/>
    <w:rsid w:val="00B07B23"/>
    <w:rsid w:val="00B11414"/>
    <w:rsid w:val="00B11C4B"/>
    <w:rsid w:val="00B1314E"/>
    <w:rsid w:val="00B1425D"/>
    <w:rsid w:val="00B14649"/>
    <w:rsid w:val="00B14786"/>
    <w:rsid w:val="00B149E2"/>
    <w:rsid w:val="00B150DF"/>
    <w:rsid w:val="00B177C1"/>
    <w:rsid w:val="00B17E1A"/>
    <w:rsid w:val="00B17E35"/>
    <w:rsid w:val="00B20F7D"/>
    <w:rsid w:val="00B214A8"/>
    <w:rsid w:val="00B22A68"/>
    <w:rsid w:val="00B22C22"/>
    <w:rsid w:val="00B23256"/>
    <w:rsid w:val="00B23C00"/>
    <w:rsid w:val="00B24DDF"/>
    <w:rsid w:val="00B25660"/>
    <w:rsid w:val="00B25D13"/>
    <w:rsid w:val="00B26248"/>
    <w:rsid w:val="00B26853"/>
    <w:rsid w:val="00B26ED2"/>
    <w:rsid w:val="00B26F9B"/>
    <w:rsid w:val="00B2732D"/>
    <w:rsid w:val="00B278F7"/>
    <w:rsid w:val="00B30042"/>
    <w:rsid w:val="00B303D4"/>
    <w:rsid w:val="00B31420"/>
    <w:rsid w:val="00B33067"/>
    <w:rsid w:val="00B334EE"/>
    <w:rsid w:val="00B3354C"/>
    <w:rsid w:val="00B33A24"/>
    <w:rsid w:val="00B33C89"/>
    <w:rsid w:val="00B34E16"/>
    <w:rsid w:val="00B352A9"/>
    <w:rsid w:val="00B364B0"/>
    <w:rsid w:val="00B3686D"/>
    <w:rsid w:val="00B36EFF"/>
    <w:rsid w:val="00B37261"/>
    <w:rsid w:val="00B37402"/>
    <w:rsid w:val="00B401E6"/>
    <w:rsid w:val="00B412AF"/>
    <w:rsid w:val="00B413AF"/>
    <w:rsid w:val="00B415D6"/>
    <w:rsid w:val="00B41EE5"/>
    <w:rsid w:val="00B4217F"/>
    <w:rsid w:val="00B42651"/>
    <w:rsid w:val="00B44429"/>
    <w:rsid w:val="00B4484D"/>
    <w:rsid w:val="00B450EE"/>
    <w:rsid w:val="00B4639C"/>
    <w:rsid w:val="00B464F0"/>
    <w:rsid w:val="00B4694C"/>
    <w:rsid w:val="00B46AFF"/>
    <w:rsid w:val="00B46F3D"/>
    <w:rsid w:val="00B470C9"/>
    <w:rsid w:val="00B472BD"/>
    <w:rsid w:val="00B47CF4"/>
    <w:rsid w:val="00B50760"/>
    <w:rsid w:val="00B515FD"/>
    <w:rsid w:val="00B519A9"/>
    <w:rsid w:val="00B51B88"/>
    <w:rsid w:val="00B52787"/>
    <w:rsid w:val="00B52AFB"/>
    <w:rsid w:val="00B52D3E"/>
    <w:rsid w:val="00B53471"/>
    <w:rsid w:val="00B536DD"/>
    <w:rsid w:val="00B53B99"/>
    <w:rsid w:val="00B5424F"/>
    <w:rsid w:val="00B54846"/>
    <w:rsid w:val="00B54B9F"/>
    <w:rsid w:val="00B55284"/>
    <w:rsid w:val="00B55675"/>
    <w:rsid w:val="00B55993"/>
    <w:rsid w:val="00B564A4"/>
    <w:rsid w:val="00B56610"/>
    <w:rsid w:val="00B56916"/>
    <w:rsid w:val="00B56B6A"/>
    <w:rsid w:val="00B5713E"/>
    <w:rsid w:val="00B576D0"/>
    <w:rsid w:val="00B57797"/>
    <w:rsid w:val="00B60CCE"/>
    <w:rsid w:val="00B60CE6"/>
    <w:rsid w:val="00B6123B"/>
    <w:rsid w:val="00B61ECF"/>
    <w:rsid w:val="00B61F93"/>
    <w:rsid w:val="00B62422"/>
    <w:rsid w:val="00B62A37"/>
    <w:rsid w:val="00B62D1A"/>
    <w:rsid w:val="00B65DCB"/>
    <w:rsid w:val="00B6610C"/>
    <w:rsid w:val="00B661F3"/>
    <w:rsid w:val="00B67352"/>
    <w:rsid w:val="00B67D13"/>
    <w:rsid w:val="00B705C2"/>
    <w:rsid w:val="00B70A53"/>
    <w:rsid w:val="00B70C95"/>
    <w:rsid w:val="00B71D4F"/>
    <w:rsid w:val="00B720FB"/>
    <w:rsid w:val="00B72AC9"/>
    <w:rsid w:val="00B72F31"/>
    <w:rsid w:val="00B73A57"/>
    <w:rsid w:val="00B748E3"/>
    <w:rsid w:val="00B74B09"/>
    <w:rsid w:val="00B75245"/>
    <w:rsid w:val="00B75387"/>
    <w:rsid w:val="00B75B90"/>
    <w:rsid w:val="00B76BB3"/>
    <w:rsid w:val="00B76ED7"/>
    <w:rsid w:val="00B77A8B"/>
    <w:rsid w:val="00B77F88"/>
    <w:rsid w:val="00B80F73"/>
    <w:rsid w:val="00B82FDE"/>
    <w:rsid w:val="00B83259"/>
    <w:rsid w:val="00B836E2"/>
    <w:rsid w:val="00B83A20"/>
    <w:rsid w:val="00B83FA9"/>
    <w:rsid w:val="00B840A8"/>
    <w:rsid w:val="00B841A5"/>
    <w:rsid w:val="00B841FA"/>
    <w:rsid w:val="00B8455A"/>
    <w:rsid w:val="00B849D4"/>
    <w:rsid w:val="00B84F0D"/>
    <w:rsid w:val="00B84F76"/>
    <w:rsid w:val="00B8525F"/>
    <w:rsid w:val="00B8552F"/>
    <w:rsid w:val="00B861A7"/>
    <w:rsid w:val="00B868B5"/>
    <w:rsid w:val="00B86AA4"/>
    <w:rsid w:val="00B870D7"/>
    <w:rsid w:val="00B903DD"/>
    <w:rsid w:val="00B906C1"/>
    <w:rsid w:val="00B90D1D"/>
    <w:rsid w:val="00B91289"/>
    <w:rsid w:val="00B91857"/>
    <w:rsid w:val="00B9187A"/>
    <w:rsid w:val="00B927CC"/>
    <w:rsid w:val="00B929AE"/>
    <w:rsid w:val="00B92B8A"/>
    <w:rsid w:val="00B92BCB"/>
    <w:rsid w:val="00B92D78"/>
    <w:rsid w:val="00B947A9"/>
    <w:rsid w:val="00B94886"/>
    <w:rsid w:val="00B95023"/>
    <w:rsid w:val="00B95DD1"/>
    <w:rsid w:val="00B96B4E"/>
    <w:rsid w:val="00B96BD3"/>
    <w:rsid w:val="00B97123"/>
    <w:rsid w:val="00B97614"/>
    <w:rsid w:val="00BA007D"/>
    <w:rsid w:val="00BA0A55"/>
    <w:rsid w:val="00BA1D58"/>
    <w:rsid w:val="00BA3416"/>
    <w:rsid w:val="00BA424A"/>
    <w:rsid w:val="00BA4C54"/>
    <w:rsid w:val="00BA595B"/>
    <w:rsid w:val="00BA5F4D"/>
    <w:rsid w:val="00BA64F0"/>
    <w:rsid w:val="00BA6598"/>
    <w:rsid w:val="00BA7238"/>
    <w:rsid w:val="00BA7412"/>
    <w:rsid w:val="00BA7DB0"/>
    <w:rsid w:val="00BA7FC3"/>
    <w:rsid w:val="00BB03CA"/>
    <w:rsid w:val="00BB04CB"/>
    <w:rsid w:val="00BB09C9"/>
    <w:rsid w:val="00BB1141"/>
    <w:rsid w:val="00BB17E2"/>
    <w:rsid w:val="00BB1814"/>
    <w:rsid w:val="00BB2656"/>
    <w:rsid w:val="00BB369F"/>
    <w:rsid w:val="00BB3898"/>
    <w:rsid w:val="00BB3E58"/>
    <w:rsid w:val="00BB45BF"/>
    <w:rsid w:val="00BB4872"/>
    <w:rsid w:val="00BB4FB9"/>
    <w:rsid w:val="00BB58D7"/>
    <w:rsid w:val="00BB6053"/>
    <w:rsid w:val="00BB6B65"/>
    <w:rsid w:val="00BB73D7"/>
    <w:rsid w:val="00BC0FB1"/>
    <w:rsid w:val="00BC1AED"/>
    <w:rsid w:val="00BC1D14"/>
    <w:rsid w:val="00BC20D6"/>
    <w:rsid w:val="00BC30AF"/>
    <w:rsid w:val="00BC3162"/>
    <w:rsid w:val="00BC3633"/>
    <w:rsid w:val="00BC3E71"/>
    <w:rsid w:val="00BC4EC6"/>
    <w:rsid w:val="00BC57F2"/>
    <w:rsid w:val="00BC5F47"/>
    <w:rsid w:val="00BC6018"/>
    <w:rsid w:val="00BC671B"/>
    <w:rsid w:val="00BC6CDF"/>
    <w:rsid w:val="00BC72C8"/>
    <w:rsid w:val="00BD04BF"/>
    <w:rsid w:val="00BD0C02"/>
    <w:rsid w:val="00BD1B1D"/>
    <w:rsid w:val="00BD1BE1"/>
    <w:rsid w:val="00BD3575"/>
    <w:rsid w:val="00BD3799"/>
    <w:rsid w:val="00BD3E43"/>
    <w:rsid w:val="00BD3F8C"/>
    <w:rsid w:val="00BD4229"/>
    <w:rsid w:val="00BD4558"/>
    <w:rsid w:val="00BD4C8B"/>
    <w:rsid w:val="00BD4EAE"/>
    <w:rsid w:val="00BD5E48"/>
    <w:rsid w:val="00BD6052"/>
    <w:rsid w:val="00BE1302"/>
    <w:rsid w:val="00BE159A"/>
    <w:rsid w:val="00BE1B03"/>
    <w:rsid w:val="00BE2B48"/>
    <w:rsid w:val="00BE2F2A"/>
    <w:rsid w:val="00BE334B"/>
    <w:rsid w:val="00BE38B0"/>
    <w:rsid w:val="00BE3DE1"/>
    <w:rsid w:val="00BE4B57"/>
    <w:rsid w:val="00BE65DD"/>
    <w:rsid w:val="00BE699F"/>
    <w:rsid w:val="00BE6B37"/>
    <w:rsid w:val="00BE6C8B"/>
    <w:rsid w:val="00BE6F4E"/>
    <w:rsid w:val="00BE7A94"/>
    <w:rsid w:val="00BE7B4F"/>
    <w:rsid w:val="00BE7F04"/>
    <w:rsid w:val="00BE7F07"/>
    <w:rsid w:val="00BF0A69"/>
    <w:rsid w:val="00BF1773"/>
    <w:rsid w:val="00BF1B75"/>
    <w:rsid w:val="00BF2097"/>
    <w:rsid w:val="00BF259D"/>
    <w:rsid w:val="00BF2B2D"/>
    <w:rsid w:val="00BF3E30"/>
    <w:rsid w:val="00BF469B"/>
    <w:rsid w:val="00BF5F20"/>
    <w:rsid w:val="00BF65D6"/>
    <w:rsid w:val="00BF6DB9"/>
    <w:rsid w:val="00BF7BF9"/>
    <w:rsid w:val="00BF7D4A"/>
    <w:rsid w:val="00C00652"/>
    <w:rsid w:val="00C009CD"/>
    <w:rsid w:val="00C017D0"/>
    <w:rsid w:val="00C0199B"/>
    <w:rsid w:val="00C01E61"/>
    <w:rsid w:val="00C03272"/>
    <w:rsid w:val="00C0354F"/>
    <w:rsid w:val="00C03C74"/>
    <w:rsid w:val="00C04060"/>
    <w:rsid w:val="00C0429C"/>
    <w:rsid w:val="00C04D6E"/>
    <w:rsid w:val="00C05634"/>
    <w:rsid w:val="00C06032"/>
    <w:rsid w:val="00C0608E"/>
    <w:rsid w:val="00C060A4"/>
    <w:rsid w:val="00C06120"/>
    <w:rsid w:val="00C07682"/>
    <w:rsid w:val="00C11685"/>
    <w:rsid w:val="00C117AD"/>
    <w:rsid w:val="00C11B05"/>
    <w:rsid w:val="00C11DEE"/>
    <w:rsid w:val="00C11F7B"/>
    <w:rsid w:val="00C12652"/>
    <w:rsid w:val="00C127BF"/>
    <w:rsid w:val="00C12BB4"/>
    <w:rsid w:val="00C1307C"/>
    <w:rsid w:val="00C140C1"/>
    <w:rsid w:val="00C14D3A"/>
    <w:rsid w:val="00C16063"/>
    <w:rsid w:val="00C16D35"/>
    <w:rsid w:val="00C1706C"/>
    <w:rsid w:val="00C17FBD"/>
    <w:rsid w:val="00C21339"/>
    <w:rsid w:val="00C23953"/>
    <w:rsid w:val="00C23E9A"/>
    <w:rsid w:val="00C23F30"/>
    <w:rsid w:val="00C2451E"/>
    <w:rsid w:val="00C24B0F"/>
    <w:rsid w:val="00C24EC3"/>
    <w:rsid w:val="00C250BC"/>
    <w:rsid w:val="00C25D9A"/>
    <w:rsid w:val="00C25F90"/>
    <w:rsid w:val="00C26421"/>
    <w:rsid w:val="00C27075"/>
    <w:rsid w:val="00C279B5"/>
    <w:rsid w:val="00C27D84"/>
    <w:rsid w:val="00C302A6"/>
    <w:rsid w:val="00C314E1"/>
    <w:rsid w:val="00C31EFB"/>
    <w:rsid w:val="00C32E61"/>
    <w:rsid w:val="00C333AA"/>
    <w:rsid w:val="00C33DC5"/>
    <w:rsid w:val="00C3424A"/>
    <w:rsid w:val="00C347AC"/>
    <w:rsid w:val="00C34E75"/>
    <w:rsid w:val="00C4011E"/>
    <w:rsid w:val="00C4099F"/>
    <w:rsid w:val="00C4144A"/>
    <w:rsid w:val="00C43220"/>
    <w:rsid w:val="00C43C8E"/>
    <w:rsid w:val="00C43DB6"/>
    <w:rsid w:val="00C43F54"/>
    <w:rsid w:val="00C44580"/>
    <w:rsid w:val="00C44862"/>
    <w:rsid w:val="00C44CB6"/>
    <w:rsid w:val="00C45715"/>
    <w:rsid w:val="00C45790"/>
    <w:rsid w:val="00C45805"/>
    <w:rsid w:val="00C45CF1"/>
    <w:rsid w:val="00C46647"/>
    <w:rsid w:val="00C467CE"/>
    <w:rsid w:val="00C46807"/>
    <w:rsid w:val="00C47760"/>
    <w:rsid w:val="00C5007D"/>
    <w:rsid w:val="00C5082E"/>
    <w:rsid w:val="00C50E1B"/>
    <w:rsid w:val="00C51039"/>
    <w:rsid w:val="00C510BE"/>
    <w:rsid w:val="00C517D1"/>
    <w:rsid w:val="00C51C9F"/>
    <w:rsid w:val="00C51EF0"/>
    <w:rsid w:val="00C52576"/>
    <w:rsid w:val="00C52A0C"/>
    <w:rsid w:val="00C52CFC"/>
    <w:rsid w:val="00C532DC"/>
    <w:rsid w:val="00C5345C"/>
    <w:rsid w:val="00C54406"/>
    <w:rsid w:val="00C55A5A"/>
    <w:rsid w:val="00C56AF4"/>
    <w:rsid w:val="00C57698"/>
    <w:rsid w:val="00C576C7"/>
    <w:rsid w:val="00C57B03"/>
    <w:rsid w:val="00C57F56"/>
    <w:rsid w:val="00C60EB9"/>
    <w:rsid w:val="00C61899"/>
    <w:rsid w:val="00C618BF"/>
    <w:rsid w:val="00C61966"/>
    <w:rsid w:val="00C62B63"/>
    <w:rsid w:val="00C63219"/>
    <w:rsid w:val="00C64576"/>
    <w:rsid w:val="00C6457A"/>
    <w:rsid w:val="00C64C5A"/>
    <w:rsid w:val="00C64CCD"/>
    <w:rsid w:val="00C64D95"/>
    <w:rsid w:val="00C658F4"/>
    <w:rsid w:val="00C660AD"/>
    <w:rsid w:val="00C667F3"/>
    <w:rsid w:val="00C67134"/>
    <w:rsid w:val="00C671FE"/>
    <w:rsid w:val="00C6738E"/>
    <w:rsid w:val="00C67666"/>
    <w:rsid w:val="00C67802"/>
    <w:rsid w:val="00C67CE0"/>
    <w:rsid w:val="00C67E4A"/>
    <w:rsid w:val="00C7036F"/>
    <w:rsid w:val="00C7042E"/>
    <w:rsid w:val="00C711EA"/>
    <w:rsid w:val="00C71F71"/>
    <w:rsid w:val="00C7241E"/>
    <w:rsid w:val="00C73062"/>
    <w:rsid w:val="00C7342B"/>
    <w:rsid w:val="00C74122"/>
    <w:rsid w:val="00C74151"/>
    <w:rsid w:val="00C743BF"/>
    <w:rsid w:val="00C745CA"/>
    <w:rsid w:val="00C74C7C"/>
    <w:rsid w:val="00C75A91"/>
    <w:rsid w:val="00C75B45"/>
    <w:rsid w:val="00C75C39"/>
    <w:rsid w:val="00C76782"/>
    <w:rsid w:val="00C773EA"/>
    <w:rsid w:val="00C77D54"/>
    <w:rsid w:val="00C80471"/>
    <w:rsid w:val="00C80621"/>
    <w:rsid w:val="00C80BFC"/>
    <w:rsid w:val="00C80CB5"/>
    <w:rsid w:val="00C82147"/>
    <w:rsid w:val="00C822C3"/>
    <w:rsid w:val="00C8269C"/>
    <w:rsid w:val="00C8270D"/>
    <w:rsid w:val="00C8329A"/>
    <w:rsid w:val="00C83799"/>
    <w:rsid w:val="00C8443A"/>
    <w:rsid w:val="00C862E6"/>
    <w:rsid w:val="00C872C1"/>
    <w:rsid w:val="00C90210"/>
    <w:rsid w:val="00C9051C"/>
    <w:rsid w:val="00C905F1"/>
    <w:rsid w:val="00C91C7A"/>
    <w:rsid w:val="00C934D0"/>
    <w:rsid w:val="00C9366A"/>
    <w:rsid w:val="00C938D9"/>
    <w:rsid w:val="00C944FB"/>
    <w:rsid w:val="00C955EC"/>
    <w:rsid w:val="00C973FF"/>
    <w:rsid w:val="00C979F3"/>
    <w:rsid w:val="00C97E33"/>
    <w:rsid w:val="00C97F33"/>
    <w:rsid w:val="00CA0DC3"/>
    <w:rsid w:val="00CA104D"/>
    <w:rsid w:val="00CA12CF"/>
    <w:rsid w:val="00CA1796"/>
    <w:rsid w:val="00CA3239"/>
    <w:rsid w:val="00CA37B5"/>
    <w:rsid w:val="00CA3933"/>
    <w:rsid w:val="00CA3D31"/>
    <w:rsid w:val="00CA3FF6"/>
    <w:rsid w:val="00CA480A"/>
    <w:rsid w:val="00CA7929"/>
    <w:rsid w:val="00CA7998"/>
    <w:rsid w:val="00CA7A2C"/>
    <w:rsid w:val="00CA7BD0"/>
    <w:rsid w:val="00CB0886"/>
    <w:rsid w:val="00CB0E30"/>
    <w:rsid w:val="00CB146F"/>
    <w:rsid w:val="00CB1B25"/>
    <w:rsid w:val="00CB2185"/>
    <w:rsid w:val="00CB3C09"/>
    <w:rsid w:val="00CB3CFC"/>
    <w:rsid w:val="00CB4013"/>
    <w:rsid w:val="00CB4ED5"/>
    <w:rsid w:val="00CB58A8"/>
    <w:rsid w:val="00CB647D"/>
    <w:rsid w:val="00CB69B4"/>
    <w:rsid w:val="00CB6A17"/>
    <w:rsid w:val="00CB6CE0"/>
    <w:rsid w:val="00CB7562"/>
    <w:rsid w:val="00CC016B"/>
    <w:rsid w:val="00CC0FC7"/>
    <w:rsid w:val="00CC147B"/>
    <w:rsid w:val="00CC221E"/>
    <w:rsid w:val="00CC2B5C"/>
    <w:rsid w:val="00CC4425"/>
    <w:rsid w:val="00CC448B"/>
    <w:rsid w:val="00CC4EC3"/>
    <w:rsid w:val="00CC536A"/>
    <w:rsid w:val="00CC5574"/>
    <w:rsid w:val="00CC5576"/>
    <w:rsid w:val="00CC593F"/>
    <w:rsid w:val="00CC5D89"/>
    <w:rsid w:val="00CC5EE7"/>
    <w:rsid w:val="00CD07E8"/>
    <w:rsid w:val="00CD1895"/>
    <w:rsid w:val="00CD1938"/>
    <w:rsid w:val="00CD32BE"/>
    <w:rsid w:val="00CD4AC8"/>
    <w:rsid w:val="00CD4EA4"/>
    <w:rsid w:val="00CD55E6"/>
    <w:rsid w:val="00CD5723"/>
    <w:rsid w:val="00CD5BF0"/>
    <w:rsid w:val="00CD6862"/>
    <w:rsid w:val="00CD6B2F"/>
    <w:rsid w:val="00CD7DA3"/>
    <w:rsid w:val="00CE0D3D"/>
    <w:rsid w:val="00CE2462"/>
    <w:rsid w:val="00CE24A8"/>
    <w:rsid w:val="00CE3DE9"/>
    <w:rsid w:val="00CE44B1"/>
    <w:rsid w:val="00CE4585"/>
    <w:rsid w:val="00CE51A7"/>
    <w:rsid w:val="00CE624B"/>
    <w:rsid w:val="00CE7C1C"/>
    <w:rsid w:val="00CF17BD"/>
    <w:rsid w:val="00CF234B"/>
    <w:rsid w:val="00CF2C80"/>
    <w:rsid w:val="00CF3711"/>
    <w:rsid w:val="00CF4A8E"/>
    <w:rsid w:val="00CF5186"/>
    <w:rsid w:val="00CF57A7"/>
    <w:rsid w:val="00CF5D91"/>
    <w:rsid w:val="00CF69E2"/>
    <w:rsid w:val="00CF70A1"/>
    <w:rsid w:val="00CF7137"/>
    <w:rsid w:val="00CF7D2F"/>
    <w:rsid w:val="00D00192"/>
    <w:rsid w:val="00D019CF"/>
    <w:rsid w:val="00D02E35"/>
    <w:rsid w:val="00D0312B"/>
    <w:rsid w:val="00D03916"/>
    <w:rsid w:val="00D03BAD"/>
    <w:rsid w:val="00D03CA8"/>
    <w:rsid w:val="00D03CDC"/>
    <w:rsid w:val="00D04602"/>
    <w:rsid w:val="00D0480F"/>
    <w:rsid w:val="00D04CCF"/>
    <w:rsid w:val="00D0505C"/>
    <w:rsid w:val="00D051E3"/>
    <w:rsid w:val="00D05719"/>
    <w:rsid w:val="00D05910"/>
    <w:rsid w:val="00D05F4F"/>
    <w:rsid w:val="00D06301"/>
    <w:rsid w:val="00D063EB"/>
    <w:rsid w:val="00D066D9"/>
    <w:rsid w:val="00D06833"/>
    <w:rsid w:val="00D072B7"/>
    <w:rsid w:val="00D07958"/>
    <w:rsid w:val="00D07985"/>
    <w:rsid w:val="00D07C71"/>
    <w:rsid w:val="00D07D02"/>
    <w:rsid w:val="00D104C0"/>
    <w:rsid w:val="00D1068B"/>
    <w:rsid w:val="00D10A7E"/>
    <w:rsid w:val="00D10B9F"/>
    <w:rsid w:val="00D10D80"/>
    <w:rsid w:val="00D11174"/>
    <w:rsid w:val="00D11198"/>
    <w:rsid w:val="00D11235"/>
    <w:rsid w:val="00D119DF"/>
    <w:rsid w:val="00D1423F"/>
    <w:rsid w:val="00D147D3"/>
    <w:rsid w:val="00D14D10"/>
    <w:rsid w:val="00D14D21"/>
    <w:rsid w:val="00D15021"/>
    <w:rsid w:val="00D1577C"/>
    <w:rsid w:val="00D15B7A"/>
    <w:rsid w:val="00D16021"/>
    <w:rsid w:val="00D16499"/>
    <w:rsid w:val="00D16F5D"/>
    <w:rsid w:val="00D16FFA"/>
    <w:rsid w:val="00D170DA"/>
    <w:rsid w:val="00D17471"/>
    <w:rsid w:val="00D17DBE"/>
    <w:rsid w:val="00D202B8"/>
    <w:rsid w:val="00D205AC"/>
    <w:rsid w:val="00D20B16"/>
    <w:rsid w:val="00D2168F"/>
    <w:rsid w:val="00D21BE5"/>
    <w:rsid w:val="00D21C06"/>
    <w:rsid w:val="00D223FD"/>
    <w:rsid w:val="00D22C67"/>
    <w:rsid w:val="00D23237"/>
    <w:rsid w:val="00D239FD"/>
    <w:rsid w:val="00D24359"/>
    <w:rsid w:val="00D246DE"/>
    <w:rsid w:val="00D24B7E"/>
    <w:rsid w:val="00D24F7C"/>
    <w:rsid w:val="00D25D79"/>
    <w:rsid w:val="00D26130"/>
    <w:rsid w:val="00D263BA"/>
    <w:rsid w:val="00D26435"/>
    <w:rsid w:val="00D26EB0"/>
    <w:rsid w:val="00D2796C"/>
    <w:rsid w:val="00D27E40"/>
    <w:rsid w:val="00D303DA"/>
    <w:rsid w:val="00D30BC1"/>
    <w:rsid w:val="00D30DB3"/>
    <w:rsid w:val="00D30F0C"/>
    <w:rsid w:val="00D33297"/>
    <w:rsid w:val="00D33F8E"/>
    <w:rsid w:val="00D376CD"/>
    <w:rsid w:val="00D37878"/>
    <w:rsid w:val="00D40D45"/>
    <w:rsid w:val="00D41505"/>
    <w:rsid w:val="00D427B1"/>
    <w:rsid w:val="00D42820"/>
    <w:rsid w:val="00D42E4E"/>
    <w:rsid w:val="00D445B6"/>
    <w:rsid w:val="00D44FB1"/>
    <w:rsid w:val="00D457DF"/>
    <w:rsid w:val="00D45CBB"/>
    <w:rsid w:val="00D45EB1"/>
    <w:rsid w:val="00D467FB"/>
    <w:rsid w:val="00D46FC2"/>
    <w:rsid w:val="00D475FE"/>
    <w:rsid w:val="00D50C46"/>
    <w:rsid w:val="00D51BCE"/>
    <w:rsid w:val="00D52568"/>
    <w:rsid w:val="00D52847"/>
    <w:rsid w:val="00D53B0F"/>
    <w:rsid w:val="00D544B8"/>
    <w:rsid w:val="00D544D4"/>
    <w:rsid w:val="00D54656"/>
    <w:rsid w:val="00D56785"/>
    <w:rsid w:val="00D57039"/>
    <w:rsid w:val="00D575F8"/>
    <w:rsid w:val="00D576F3"/>
    <w:rsid w:val="00D57AED"/>
    <w:rsid w:val="00D57C6B"/>
    <w:rsid w:val="00D60B7E"/>
    <w:rsid w:val="00D614EF"/>
    <w:rsid w:val="00D615CE"/>
    <w:rsid w:val="00D6169B"/>
    <w:rsid w:val="00D641EB"/>
    <w:rsid w:val="00D647AC"/>
    <w:rsid w:val="00D65D0B"/>
    <w:rsid w:val="00D66041"/>
    <w:rsid w:val="00D660F3"/>
    <w:rsid w:val="00D66EE8"/>
    <w:rsid w:val="00D66F46"/>
    <w:rsid w:val="00D67E8D"/>
    <w:rsid w:val="00D707E4"/>
    <w:rsid w:val="00D70804"/>
    <w:rsid w:val="00D71935"/>
    <w:rsid w:val="00D7285E"/>
    <w:rsid w:val="00D7390D"/>
    <w:rsid w:val="00D75E54"/>
    <w:rsid w:val="00D76423"/>
    <w:rsid w:val="00D765C8"/>
    <w:rsid w:val="00D76EED"/>
    <w:rsid w:val="00D77228"/>
    <w:rsid w:val="00D77587"/>
    <w:rsid w:val="00D803B8"/>
    <w:rsid w:val="00D8094E"/>
    <w:rsid w:val="00D80D55"/>
    <w:rsid w:val="00D812EF"/>
    <w:rsid w:val="00D8145D"/>
    <w:rsid w:val="00D8173C"/>
    <w:rsid w:val="00D85AA7"/>
    <w:rsid w:val="00D86310"/>
    <w:rsid w:val="00D86366"/>
    <w:rsid w:val="00D86D73"/>
    <w:rsid w:val="00D871DA"/>
    <w:rsid w:val="00D8792F"/>
    <w:rsid w:val="00D879DB"/>
    <w:rsid w:val="00D87D36"/>
    <w:rsid w:val="00D87D92"/>
    <w:rsid w:val="00D90D64"/>
    <w:rsid w:val="00D914E0"/>
    <w:rsid w:val="00D918E5"/>
    <w:rsid w:val="00D9323F"/>
    <w:rsid w:val="00D933B8"/>
    <w:rsid w:val="00D93A71"/>
    <w:rsid w:val="00D951E6"/>
    <w:rsid w:val="00D9527E"/>
    <w:rsid w:val="00D95692"/>
    <w:rsid w:val="00D95E01"/>
    <w:rsid w:val="00D95E17"/>
    <w:rsid w:val="00D9690F"/>
    <w:rsid w:val="00D96BAA"/>
    <w:rsid w:val="00D96E9B"/>
    <w:rsid w:val="00D973C3"/>
    <w:rsid w:val="00D974B2"/>
    <w:rsid w:val="00D97CE2"/>
    <w:rsid w:val="00D97D58"/>
    <w:rsid w:val="00DA03EA"/>
    <w:rsid w:val="00DA0AAD"/>
    <w:rsid w:val="00DA0AD2"/>
    <w:rsid w:val="00DA0D10"/>
    <w:rsid w:val="00DA1475"/>
    <w:rsid w:val="00DA2005"/>
    <w:rsid w:val="00DA251B"/>
    <w:rsid w:val="00DA2FB2"/>
    <w:rsid w:val="00DA3531"/>
    <w:rsid w:val="00DA3F21"/>
    <w:rsid w:val="00DA61E8"/>
    <w:rsid w:val="00DA6626"/>
    <w:rsid w:val="00DA699D"/>
    <w:rsid w:val="00DA77D3"/>
    <w:rsid w:val="00DA7D1E"/>
    <w:rsid w:val="00DB0A98"/>
    <w:rsid w:val="00DB114A"/>
    <w:rsid w:val="00DB20A8"/>
    <w:rsid w:val="00DB2C1B"/>
    <w:rsid w:val="00DB2DD6"/>
    <w:rsid w:val="00DB3134"/>
    <w:rsid w:val="00DB3707"/>
    <w:rsid w:val="00DB38F3"/>
    <w:rsid w:val="00DB4A74"/>
    <w:rsid w:val="00DB5009"/>
    <w:rsid w:val="00DB59A3"/>
    <w:rsid w:val="00DB60C2"/>
    <w:rsid w:val="00DB6AAF"/>
    <w:rsid w:val="00DB73CA"/>
    <w:rsid w:val="00DB753A"/>
    <w:rsid w:val="00DC0E31"/>
    <w:rsid w:val="00DC0F58"/>
    <w:rsid w:val="00DC2048"/>
    <w:rsid w:val="00DC21A3"/>
    <w:rsid w:val="00DC2C14"/>
    <w:rsid w:val="00DC2FC4"/>
    <w:rsid w:val="00DC36B1"/>
    <w:rsid w:val="00DC3B4C"/>
    <w:rsid w:val="00DC3BC7"/>
    <w:rsid w:val="00DC425D"/>
    <w:rsid w:val="00DC4D02"/>
    <w:rsid w:val="00DC5A55"/>
    <w:rsid w:val="00DC5B42"/>
    <w:rsid w:val="00DC68BD"/>
    <w:rsid w:val="00DD0123"/>
    <w:rsid w:val="00DD080C"/>
    <w:rsid w:val="00DD0A5C"/>
    <w:rsid w:val="00DD12F4"/>
    <w:rsid w:val="00DD14A6"/>
    <w:rsid w:val="00DD15D5"/>
    <w:rsid w:val="00DD2C91"/>
    <w:rsid w:val="00DD33BB"/>
    <w:rsid w:val="00DD4309"/>
    <w:rsid w:val="00DD4D41"/>
    <w:rsid w:val="00DD5AAA"/>
    <w:rsid w:val="00DD5EB2"/>
    <w:rsid w:val="00DD6556"/>
    <w:rsid w:val="00DD6F76"/>
    <w:rsid w:val="00DD7159"/>
    <w:rsid w:val="00DD79FD"/>
    <w:rsid w:val="00DE01EE"/>
    <w:rsid w:val="00DE139C"/>
    <w:rsid w:val="00DE5F42"/>
    <w:rsid w:val="00DE630A"/>
    <w:rsid w:val="00DE71CB"/>
    <w:rsid w:val="00DF03F7"/>
    <w:rsid w:val="00DF15DA"/>
    <w:rsid w:val="00DF15DB"/>
    <w:rsid w:val="00DF1A84"/>
    <w:rsid w:val="00DF2C65"/>
    <w:rsid w:val="00DF2F44"/>
    <w:rsid w:val="00DF37BE"/>
    <w:rsid w:val="00DF3DD9"/>
    <w:rsid w:val="00DF3F53"/>
    <w:rsid w:val="00DF4EA4"/>
    <w:rsid w:val="00DF507E"/>
    <w:rsid w:val="00DF5233"/>
    <w:rsid w:val="00DF588B"/>
    <w:rsid w:val="00DF5A33"/>
    <w:rsid w:val="00DF62BE"/>
    <w:rsid w:val="00DF64A7"/>
    <w:rsid w:val="00DF69ED"/>
    <w:rsid w:val="00DF75E5"/>
    <w:rsid w:val="00E02007"/>
    <w:rsid w:val="00E0274C"/>
    <w:rsid w:val="00E029F1"/>
    <w:rsid w:val="00E02B0F"/>
    <w:rsid w:val="00E02FAF"/>
    <w:rsid w:val="00E034A0"/>
    <w:rsid w:val="00E034BC"/>
    <w:rsid w:val="00E03BEA"/>
    <w:rsid w:val="00E0456C"/>
    <w:rsid w:val="00E0594E"/>
    <w:rsid w:val="00E059BD"/>
    <w:rsid w:val="00E05C0F"/>
    <w:rsid w:val="00E066FC"/>
    <w:rsid w:val="00E06929"/>
    <w:rsid w:val="00E06AD2"/>
    <w:rsid w:val="00E06D27"/>
    <w:rsid w:val="00E06DCF"/>
    <w:rsid w:val="00E06FBC"/>
    <w:rsid w:val="00E07A45"/>
    <w:rsid w:val="00E104D8"/>
    <w:rsid w:val="00E11156"/>
    <w:rsid w:val="00E11D3A"/>
    <w:rsid w:val="00E11F33"/>
    <w:rsid w:val="00E120DE"/>
    <w:rsid w:val="00E12377"/>
    <w:rsid w:val="00E124AE"/>
    <w:rsid w:val="00E125E0"/>
    <w:rsid w:val="00E1310F"/>
    <w:rsid w:val="00E13267"/>
    <w:rsid w:val="00E13463"/>
    <w:rsid w:val="00E14EA8"/>
    <w:rsid w:val="00E153DC"/>
    <w:rsid w:val="00E16068"/>
    <w:rsid w:val="00E173D5"/>
    <w:rsid w:val="00E1767B"/>
    <w:rsid w:val="00E17E3C"/>
    <w:rsid w:val="00E2021D"/>
    <w:rsid w:val="00E21032"/>
    <w:rsid w:val="00E21737"/>
    <w:rsid w:val="00E22816"/>
    <w:rsid w:val="00E22B1C"/>
    <w:rsid w:val="00E2334D"/>
    <w:rsid w:val="00E236AB"/>
    <w:rsid w:val="00E243FE"/>
    <w:rsid w:val="00E24BCD"/>
    <w:rsid w:val="00E252D3"/>
    <w:rsid w:val="00E25F7B"/>
    <w:rsid w:val="00E26A5F"/>
    <w:rsid w:val="00E270F1"/>
    <w:rsid w:val="00E274BF"/>
    <w:rsid w:val="00E3002B"/>
    <w:rsid w:val="00E30414"/>
    <w:rsid w:val="00E334A7"/>
    <w:rsid w:val="00E336D9"/>
    <w:rsid w:val="00E33BF1"/>
    <w:rsid w:val="00E33C70"/>
    <w:rsid w:val="00E33E4A"/>
    <w:rsid w:val="00E342F7"/>
    <w:rsid w:val="00E34A07"/>
    <w:rsid w:val="00E34EA8"/>
    <w:rsid w:val="00E36076"/>
    <w:rsid w:val="00E36537"/>
    <w:rsid w:val="00E3716D"/>
    <w:rsid w:val="00E3719A"/>
    <w:rsid w:val="00E3723A"/>
    <w:rsid w:val="00E37786"/>
    <w:rsid w:val="00E37885"/>
    <w:rsid w:val="00E40075"/>
    <w:rsid w:val="00E40B58"/>
    <w:rsid w:val="00E40EC2"/>
    <w:rsid w:val="00E410A2"/>
    <w:rsid w:val="00E41193"/>
    <w:rsid w:val="00E4139D"/>
    <w:rsid w:val="00E41417"/>
    <w:rsid w:val="00E4182E"/>
    <w:rsid w:val="00E419CF"/>
    <w:rsid w:val="00E41C42"/>
    <w:rsid w:val="00E42012"/>
    <w:rsid w:val="00E42F3B"/>
    <w:rsid w:val="00E43F14"/>
    <w:rsid w:val="00E4485A"/>
    <w:rsid w:val="00E45787"/>
    <w:rsid w:val="00E458E6"/>
    <w:rsid w:val="00E45FEE"/>
    <w:rsid w:val="00E46813"/>
    <w:rsid w:val="00E46D63"/>
    <w:rsid w:val="00E47805"/>
    <w:rsid w:val="00E50CEB"/>
    <w:rsid w:val="00E5161E"/>
    <w:rsid w:val="00E5192F"/>
    <w:rsid w:val="00E519B7"/>
    <w:rsid w:val="00E52496"/>
    <w:rsid w:val="00E52B3B"/>
    <w:rsid w:val="00E52C64"/>
    <w:rsid w:val="00E534B8"/>
    <w:rsid w:val="00E53A26"/>
    <w:rsid w:val="00E53C78"/>
    <w:rsid w:val="00E53E49"/>
    <w:rsid w:val="00E54587"/>
    <w:rsid w:val="00E5481A"/>
    <w:rsid w:val="00E54C0C"/>
    <w:rsid w:val="00E54C6C"/>
    <w:rsid w:val="00E55342"/>
    <w:rsid w:val="00E55A91"/>
    <w:rsid w:val="00E55B46"/>
    <w:rsid w:val="00E5668A"/>
    <w:rsid w:val="00E56D3C"/>
    <w:rsid w:val="00E57F0D"/>
    <w:rsid w:val="00E604FB"/>
    <w:rsid w:val="00E606E4"/>
    <w:rsid w:val="00E606FA"/>
    <w:rsid w:val="00E61835"/>
    <w:rsid w:val="00E625F6"/>
    <w:rsid w:val="00E62EB8"/>
    <w:rsid w:val="00E63A77"/>
    <w:rsid w:val="00E64427"/>
    <w:rsid w:val="00E6482B"/>
    <w:rsid w:val="00E65260"/>
    <w:rsid w:val="00E66AF9"/>
    <w:rsid w:val="00E67783"/>
    <w:rsid w:val="00E677E7"/>
    <w:rsid w:val="00E70CC9"/>
    <w:rsid w:val="00E72B0E"/>
    <w:rsid w:val="00E7330F"/>
    <w:rsid w:val="00E7442C"/>
    <w:rsid w:val="00E74525"/>
    <w:rsid w:val="00E751C4"/>
    <w:rsid w:val="00E755C6"/>
    <w:rsid w:val="00E75D48"/>
    <w:rsid w:val="00E76787"/>
    <w:rsid w:val="00E777D4"/>
    <w:rsid w:val="00E7786A"/>
    <w:rsid w:val="00E77F06"/>
    <w:rsid w:val="00E81DE7"/>
    <w:rsid w:val="00E81FEB"/>
    <w:rsid w:val="00E82220"/>
    <w:rsid w:val="00E82A5E"/>
    <w:rsid w:val="00E8397C"/>
    <w:rsid w:val="00E84730"/>
    <w:rsid w:val="00E85555"/>
    <w:rsid w:val="00E85AA2"/>
    <w:rsid w:val="00E86573"/>
    <w:rsid w:val="00E86763"/>
    <w:rsid w:val="00E86A5E"/>
    <w:rsid w:val="00E86B20"/>
    <w:rsid w:val="00E86C78"/>
    <w:rsid w:val="00E86DC2"/>
    <w:rsid w:val="00E871A4"/>
    <w:rsid w:val="00E872B1"/>
    <w:rsid w:val="00E87871"/>
    <w:rsid w:val="00E87E9E"/>
    <w:rsid w:val="00E9019D"/>
    <w:rsid w:val="00E90CDB"/>
    <w:rsid w:val="00E90DEF"/>
    <w:rsid w:val="00E911A7"/>
    <w:rsid w:val="00E91E71"/>
    <w:rsid w:val="00E92819"/>
    <w:rsid w:val="00E933FE"/>
    <w:rsid w:val="00E9363E"/>
    <w:rsid w:val="00E93A46"/>
    <w:rsid w:val="00E93D17"/>
    <w:rsid w:val="00E94162"/>
    <w:rsid w:val="00E945F2"/>
    <w:rsid w:val="00E94784"/>
    <w:rsid w:val="00E9487D"/>
    <w:rsid w:val="00E9488B"/>
    <w:rsid w:val="00E94907"/>
    <w:rsid w:val="00E94DD3"/>
    <w:rsid w:val="00E960F0"/>
    <w:rsid w:val="00E9659B"/>
    <w:rsid w:val="00E97944"/>
    <w:rsid w:val="00E97BCF"/>
    <w:rsid w:val="00EA1407"/>
    <w:rsid w:val="00EA1419"/>
    <w:rsid w:val="00EA16A8"/>
    <w:rsid w:val="00EA29D0"/>
    <w:rsid w:val="00EA2AE5"/>
    <w:rsid w:val="00EA32A6"/>
    <w:rsid w:val="00EA33D2"/>
    <w:rsid w:val="00EA3668"/>
    <w:rsid w:val="00EA3C64"/>
    <w:rsid w:val="00EA3F40"/>
    <w:rsid w:val="00EA553C"/>
    <w:rsid w:val="00EB05CE"/>
    <w:rsid w:val="00EB089D"/>
    <w:rsid w:val="00EB1817"/>
    <w:rsid w:val="00EB1873"/>
    <w:rsid w:val="00EB22A8"/>
    <w:rsid w:val="00EB34E5"/>
    <w:rsid w:val="00EB3B38"/>
    <w:rsid w:val="00EB4743"/>
    <w:rsid w:val="00EB4AD6"/>
    <w:rsid w:val="00EB5904"/>
    <w:rsid w:val="00EB664F"/>
    <w:rsid w:val="00EB6BA7"/>
    <w:rsid w:val="00EC0128"/>
    <w:rsid w:val="00EC04AC"/>
    <w:rsid w:val="00EC11A8"/>
    <w:rsid w:val="00EC18E6"/>
    <w:rsid w:val="00EC1954"/>
    <w:rsid w:val="00EC1C45"/>
    <w:rsid w:val="00EC20E4"/>
    <w:rsid w:val="00EC2AC0"/>
    <w:rsid w:val="00EC3C3D"/>
    <w:rsid w:val="00EC45E5"/>
    <w:rsid w:val="00EC4652"/>
    <w:rsid w:val="00EC4804"/>
    <w:rsid w:val="00EC5E00"/>
    <w:rsid w:val="00EC65D4"/>
    <w:rsid w:val="00EC6AC9"/>
    <w:rsid w:val="00EC6B8A"/>
    <w:rsid w:val="00EC6C92"/>
    <w:rsid w:val="00EC72F2"/>
    <w:rsid w:val="00EC7A10"/>
    <w:rsid w:val="00ED0F2F"/>
    <w:rsid w:val="00ED10F5"/>
    <w:rsid w:val="00ED17D6"/>
    <w:rsid w:val="00ED18CA"/>
    <w:rsid w:val="00ED3508"/>
    <w:rsid w:val="00ED43AD"/>
    <w:rsid w:val="00ED4863"/>
    <w:rsid w:val="00ED4ED2"/>
    <w:rsid w:val="00ED5644"/>
    <w:rsid w:val="00ED585D"/>
    <w:rsid w:val="00ED6772"/>
    <w:rsid w:val="00ED7DA5"/>
    <w:rsid w:val="00ED7E2D"/>
    <w:rsid w:val="00EE17EE"/>
    <w:rsid w:val="00EE2EA2"/>
    <w:rsid w:val="00EE3ED7"/>
    <w:rsid w:val="00EE4512"/>
    <w:rsid w:val="00EE4CCD"/>
    <w:rsid w:val="00EE5AEC"/>
    <w:rsid w:val="00EE5C99"/>
    <w:rsid w:val="00EE65C6"/>
    <w:rsid w:val="00EE6AEE"/>
    <w:rsid w:val="00EE70BF"/>
    <w:rsid w:val="00EE739F"/>
    <w:rsid w:val="00EF138F"/>
    <w:rsid w:val="00EF185E"/>
    <w:rsid w:val="00EF19D9"/>
    <w:rsid w:val="00EF26EE"/>
    <w:rsid w:val="00EF4A50"/>
    <w:rsid w:val="00EF4AD3"/>
    <w:rsid w:val="00EF4CF0"/>
    <w:rsid w:val="00EF4DE4"/>
    <w:rsid w:val="00EF5073"/>
    <w:rsid w:val="00EF5EDC"/>
    <w:rsid w:val="00EF6B7A"/>
    <w:rsid w:val="00EF6E71"/>
    <w:rsid w:val="00EF7644"/>
    <w:rsid w:val="00EF78AF"/>
    <w:rsid w:val="00F00F07"/>
    <w:rsid w:val="00F012AC"/>
    <w:rsid w:val="00F01EFC"/>
    <w:rsid w:val="00F02CD6"/>
    <w:rsid w:val="00F03277"/>
    <w:rsid w:val="00F034C9"/>
    <w:rsid w:val="00F0375A"/>
    <w:rsid w:val="00F03909"/>
    <w:rsid w:val="00F03990"/>
    <w:rsid w:val="00F0399F"/>
    <w:rsid w:val="00F04748"/>
    <w:rsid w:val="00F04A67"/>
    <w:rsid w:val="00F04D6B"/>
    <w:rsid w:val="00F05911"/>
    <w:rsid w:val="00F061C4"/>
    <w:rsid w:val="00F06383"/>
    <w:rsid w:val="00F0772F"/>
    <w:rsid w:val="00F07796"/>
    <w:rsid w:val="00F100F9"/>
    <w:rsid w:val="00F10A9B"/>
    <w:rsid w:val="00F11272"/>
    <w:rsid w:val="00F114CB"/>
    <w:rsid w:val="00F117E4"/>
    <w:rsid w:val="00F11CC6"/>
    <w:rsid w:val="00F11E6A"/>
    <w:rsid w:val="00F12F14"/>
    <w:rsid w:val="00F12FA8"/>
    <w:rsid w:val="00F13C83"/>
    <w:rsid w:val="00F13CD2"/>
    <w:rsid w:val="00F13D9B"/>
    <w:rsid w:val="00F142AA"/>
    <w:rsid w:val="00F147A3"/>
    <w:rsid w:val="00F14904"/>
    <w:rsid w:val="00F1497F"/>
    <w:rsid w:val="00F1504A"/>
    <w:rsid w:val="00F150FB"/>
    <w:rsid w:val="00F152FB"/>
    <w:rsid w:val="00F15846"/>
    <w:rsid w:val="00F15A65"/>
    <w:rsid w:val="00F16081"/>
    <w:rsid w:val="00F1684F"/>
    <w:rsid w:val="00F16D50"/>
    <w:rsid w:val="00F174C0"/>
    <w:rsid w:val="00F204C6"/>
    <w:rsid w:val="00F20F90"/>
    <w:rsid w:val="00F2138F"/>
    <w:rsid w:val="00F22196"/>
    <w:rsid w:val="00F22559"/>
    <w:rsid w:val="00F22A7C"/>
    <w:rsid w:val="00F22C44"/>
    <w:rsid w:val="00F22E28"/>
    <w:rsid w:val="00F23223"/>
    <w:rsid w:val="00F243C8"/>
    <w:rsid w:val="00F24716"/>
    <w:rsid w:val="00F24D23"/>
    <w:rsid w:val="00F2556C"/>
    <w:rsid w:val="00F2584D"/>
    <w:rsid w:val="00F25B13"/>
    <w:rsid w:val="00F26987"/>
    <w:rsid w:val="00F26D56"/>
    <w:rsid w:val="00F26E3D"/>
    <w:rsid w:val="00F301CE"/>
    <w:rsid w:val="00F30BA7"/>
    <w:rsid w:val="00F31385"/>
    <w:rsid w:val="00F31432"/>
    <w:rsid w:val="00F3152C"/>
    <w:rsid w:val="00F335D8"/>
    <w:rsid w:val="00F33624"/>
    <w:rsid w:val="00F33CD8"/>
    <w:rsid w:val="00F35647"/>
    <w:rsid w:val="00F357F1"/>
    <w:rsid w:val="00F36058"/>
    <w:rsid w:val="00F3613A"/>
    <w:rsid w:val="00F3653A"/>
    <w:rsid w:val="00F365A7"/>
    <w:rsid w:val="00F36755"/>
    <w:rsid w:val="00F367D9"/>
    <w:rsid w:val="00F3708A"/>
    <w:rsid w:val="00F40421"/>
    <w:rsid w:val="00F40A18"/>
    <w:rsid w:val="00F40E61"/>
    <w:rsid w:val="00F4157B"/>
    <w:rsid w:val="00F418F1"/>
    <w:rsid w:val="00F41BE6"/>
    <w:rsid w:val="00F42F1C"/>
    <w:rsid w:val="00F44BEC"/>
    <w:rsid w:val="00F450EE"/>
    <w:rsid w:val="00F4625B"/>
    <w:rsid w:val="00F46622"/>
    <w:rsid w:val="00F46D7E"/>
    <w:rsid w:val="00F473A2"/>
    <w:rsid w:val="00F479AE"/>
    <w:rsid w:val="00F47BD0"/>
    <w:rsid w:val="00F504FF"/>
    <w:rsid w:val="00F5092C"/>
    <w:rsid w:val="00F5109B"/>
    <w:rsid w:val="00F515EB"/>
    <w:rsid w:val="00F52F36"/>
    <w:rsid w:val="00F53374"/>
    <w:rsid w:val="00F5403A"/>
    <w:rsid w:val="00F54786"/>
    <w:rsid w:val="00F551E8"/>
    <w:rsid w:val="00F558AF"/>
    <w:rsid w:val="00F55986"/>
    <w:rsid w:val="00F55B30"/>
    <w:rsid w:val="00F565F7"/>
    <w:rsid w:val="00F567F4"/>
    <w:rsid w:val="00F57F19"/>
    <w:rsid w:val="00F6007D"/>
    <w:rsid w:val="00F602E0"/>
    <w:rsid w:val="00F615B6"/>
    <w:rsid w:val="00F621D8"/>
    <w:rsid w:val="00F62C69"/>
    <w:rsid w:val="00F630DA"/>
    <w:rsid w:val="00F632CA"/>
    <w:rsid w:val="00F6409C"/>
    <w:rsid w:val="00F6514F"/>
    <w:rsid w:val="00F65572"/>
    <w:rsid w:val="00F7006B"/>
    <w:rsid w:val="00F711AF"/>
    <w:rsid w:val="00F71372"/>
    <w:rsid w:val="00F71814"/>
    <w:rsid w:val="00F718EC"/>
    <w:rsid w:val="00F71DFC"/>
    <w:rsid w:val="00F71EE9"/>
    <w:rsid w:val="00F7368A"/>
    <w:rsid w:val="00F7391B"/>
    <w:rsid w:val="00F73F19"/>
    <w:rsid w:val="00F75322"/>
    <w:rsid w:val="00F759D9"/>
    <w:rsid w:val="00F75AC7"/>
    <w:rsid w:val="00F76368"/>
    <w:rsid w:val="00F76C3C"/>
    <w:rsid w:val="00F779A3"/>
    <w:rsid w:val="00F77A49"/>
    <w:rsid w:val="00F80865"/>
    <w:rsid w:val="00F8092B"/>
    <w:rsid w:val="00F8156E"/>
    <w:rsid w:val="00F815B9"/>
    <w:rsid w:val="00F82CEB"/>
    <w:rsid w:val="00F82F5A"/>
    <w:rsid w:val="00F832F9"/>
    <w:rsid w:val="00F836AF"/>
    <w:rsid w:val="00F83BA1"/>
    <w:rsid w:val="00F8448F"/>
    <w:rsid w:val="00F84DE7"/>
    <w:rsid w:val="00F85C34"/>
    <w:rsid w:val="00F85E43"/>
    <w:rsid w:val="00F86304"/>
    <w:rsid w:val="00F86961"/>
    <w:rsid w:val="00F86A6B"/>
    <w:rsid w:val="00F86A96"/>
    <w:rsid w:val="00F8723F"/>
    <w:rsid w:val="00F877EA"/>
    <w:rsid w:val="00F87893"/>
    <w:rsid w:val="00F87EAE"/>
    <w:rsid w:val="00F901D0"/>
    <w:rsid w:val="00F917C5"/>
    <w:rsid w:val="00F91904"/>
    <w:rsid w:val="00F92092"/>
    <w:rsid w:val="00F92570"/>
    <w:rsid w:val="00F942F0"/>
    <w:rsid w:val="00F94562"/>
    <w:rsid w:val="00F94F36"/>
    <w:rsid w:val="00F96555"/>
    <w:rsid w:val="00F9657E"/>
    <w:rsid w:val="00F96624"/>
    <w:rsid w:val="00F96692"/>
    <w:rsid w:val="00F96709"/>
    <w:rsid w:val="00F96800"/>
    <w:rsid w:val="00F97E2B"/>
    <w:rsid w:val="00FA03C4"/>
    <w:rsid w:val="00FA0C8E"/>
    <w:rsid w:val="00FA1052"/>
    <w:rsid w:val="00FA30CF"/>
    <w:rsid w:val="00FA35E5"/>
    <w:rsid w:val="00FA4529"/>
    <w:rsid w:val="00FA4B1C"/>
    <w:rsid w:val="00FA4BD2"/>
    <w:rsid w:val="00FA5753"/>
    <w:rsid w:val="00FA5CE4"/>
    <w:rsid w:val="00FA5E71"/>
    <w:rsid w:val="00FA708C"/>
    <w:rsid w:val="00FA72B5"/>
    <w:rsid w:val="00FB06F2"/>
    <w:rsid w:val="00FB09C9"/>
    <w:rsid w:val="00FB0CB2"/>
    <w:rsid w:val="00FB1674"/>
    <w:rsid w:val="00FB1AD8"/>
    <w:rsid w:val="00FB1CB2"/>
    <w:rsid w:val="00FB2151"/>
    <w:rsid w:val="00FB2D09"/>
    <w:rsid w:val="00FB337D"/>
    <w:rsid w:val="00FB33F7"/>
    <w:rsid w:val="00FB3417"/>
    <w:rsid w:val="00FB3B27"/>
    <w:rsid w:val="00FB3EBB"/>
    <w:rsid w:val="00FB434F"/>
    <w:rsid w:val="00FB4A00"/>
    <w:rsid w:val="00FB5D99"/>
    <w:rsid w:val="00FB69BF"/>
    <w:rsid w:val="00FB746B"/>
    <w:rsid w:val="00FB7F7E"/>
    <w:rsid w:val="00FC14C0"/>
    <w:rsid w:val="00FC2B2A"/>
    <w:rsid w:val="00FC2EB7"/>
    <w:rsid w:val="00FC36D6"/>
    <w:rsid w:val="00FC381C"/>
    <w:rsid w:val="00FC3CF3"/>
    <w:rsid w:val="00FC3E2A"/>
    <w:rsid w:val="00FC5304"/>
    <w:rsid w:val="00FC542F"/>
    <w:rsid w:val="00FC61F3"/>
    <w:rsid w:val="00FC67A3"/>
    <w:rsid w:val="00FC6ABC"/>
    <w:rsid w:val="00FC7219"/>
    <w:rsid w:val="00FC7635"/>
    <w:rsid w:val="00FC7EAA"/>
    <w:rsid w:val="00FD0102"/>
    <w:rsid w:val="00FD140F"/>
    <w:rsid w:val="00FD1AEA"/>
    <w:rsid w:val="00FD1B40"/>
    <w:rsid w:val="00FD1E9B"/>
    <w:rsid w:val="00FD215D"/>
    <w:rsid w:val="00FD52ED"/>
    <w:rsid w:val="00FD5589"/>
    <w:rsid w:val="00FD5CEF"/>
    <w:rsid w:val="00FD5ED1"/>
    <w:rsid w:val="00FD68B4"/>
    <w:rsid w:val="00FD7165"/>
    <w:rsid w:val="00FD753C"/>
    <w:rsid w:val="00FD79D0"/>
    <w:rsid w:val="00FE0619"/>
    <w:rsid w:val="00FE078D"/>
    <w:rsid w:val="00FE2479"/>
    <w:rsid w:val="00FE2AD1"/>
    <w:rsid w:val="00FE2B1E"/>
    <w:rsid w:val="00FE2E49"/>
    <w:rsid w:val="00FE352E"/>
    <w:rsid w:val="00FE3F6F"/>
    <w:rsid w:val="00FE4410"/>
    <w:rsid w:val="00FE6409"/>
    <w:rsid w:val="00FE6F68"/>
    <w:rsid w:val="00FF0AF7"/>
    <w:rsid w:val="00FF1BC5"/>
    <w:rsid w:val="00FF1C9D"/>
    <w:rsid w:val="00FF32FD"/>
    <w:rsid w:val="00FF3561"/>
    <w:rsid w:val="00FF5A19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B96E06"/>
  <w15:chartTrackingRefBased/>
  <w15:docId w15:val="{8D36D2DA-831C-4433-BFB9-CF41B4F4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3F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D3F8C"/>
    <w:pPr>
      <w:tabs>
        <w:tab w:val="left" w:pos="426"/>
        <w:tab w:val="left" w:pos="4253"/>
      </w:tabs>
    </w:pPr>
    <w:rPr>
      <w:rFonts w:ascii="Arial" w:hAnsi="Arial"/>
      <w:b/>
      <w:sz w:val="22"/>
    </w:rPr>
  </w:style>
  <w:style w:type="paragraph" w:styleId="Piedepgina">
    <w:name w:val="footer"/>
    <w:basedOn w:val="Normal"/>
    <w:link w:val="PiedepginaCar"/>
    <w:uiPriority w:val="99"/>
    <w:rsid w:val="00BD3F8C"/>
    <w:pPr>
      <w:tabs>
        <w:tab w:val="center" w:pos="4419"/>
        <w:tab w:val="right" w:pos="8838"/>
      </w:tabs>
    </w:pPr>
  </w:style>
  <w:style w:type="character" w:styleId="Nmerodepgina">
    <w:name w:val="page number"/>
    <w:rsid w:val="00BD3F8C"/>
    <w:rPr>
      <w:rFonts w:cs="Times New Roman"/>
    </w:rPr>
  </w:style>
  <w:style w:type="paragraph" w:customStyle="1" w:styleId="CarCar2Car">
    <w:name w:val="Car Car2 Car"/>
    <w:basedOn w:val="Normal"/>
    <w:rsid w:val="00BD3F8C"/>
    <w:pPr>
      <w:spacing w:after="160" w:line="240" w:lineRule="exact"/>
    </w:pPr>
    <w:rPr>
      <w:rFonts w:ascii="Tahoma" w:hAnsi="Tahoma"/>
    </w:rPr>
  </w:style>
  <w:style w:type="paragraph" w:styleId="Ttulo">
    <w:name w:val="Title"/>
    <w:basedOn w:val="Normal"/>
    <w:qFormat/>
    <w:rsid w:val="00BD3F8C"/>
    <w:pPr>
      <w:jc w:val="center"/>
    </w:pPr>
    <w:rPr>
      <w:rFonts w:ascii="Arial" w:hAnsi="Arial"/>
      <w:b/>
      <w:sz w:val="24"/>
    </w:rPr>
  </w:style>
  <w:style w:type="paragraph" w:styleId="Encabezado">
    <w:name w:val="header"/>
    <w:basedOn w:val="Normal"/>
    <w:rsid w:val="00EC195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85A92"/>
    <w:rPr>
      <w:rFonts w:ascii="Tahoma" w:hAnsi="Tahoma" w:cs="Tahoma"/>
      <w:sz w:val="16"/>
    </w:rPr>
  </w:style>
  <w:style w:type="paragraph" w:customStyle="1" w:styleId="Prrafodelista1">
    <w:name w:val="Párrafo de lista1"/>
    <w:basedOn w:val="Normal"/>
    <w:rsid w:val="00621745"/>
    <w:pPr>
      <w:ind w:left="720"/>
      <w:contextualSpacing/>
    </w:pPr>
  </w:style>
  <w:style w:type="character" w:styleId="Refdenotaalpie">
    <w:name w:val="footnote reference"/>
    <w:unhideWhenUsed/>
    <w:rsid w:val="002554A7"/>
    <w:rPr>
      <w:vertAlign w:val="superscript"/>
    </w:rPr>
  </w:style>
  <w:style w:type="character" w:customStyle="1" w:styleId="TextoindependienteCar">
    <w:name w:val="Texto independiente Car"/>
    <w:link w:val="Textoindependiente"/>
    <w:rsid w:val="00F65572"/>
    <w:rPr>
      <w:rFonts w:ascii="Arial" w:hAnsi="Arial"/>
      <w:b/>
      <w:sz w:val="22"/>
    </w:rPr>
  </w:style>
  <w:style w:type="paragraph" w:styleId="Textonotapie">
    <w:name w:val="footnote text"/>
    <w:basedOn w:val="Normal"/>
    <w:link w:val="TextonotapieCar"/>
    <w:unhideWhenUsed/>
    <w:rsid w:val="00363891"/>
  </w:style>
  <w:style w:type="character" w:customStyle="1" w:styleId="TextonotapieCar">
    <w:name w:val="Texto nota pie Car"/>
    <w:link w:val="Textonotapie"/>
    <w:rsid w:val="00363891"/>
  </w:style>
  <w:style w:type="character" w:customStyle="1" w:styleId="st1">
    <w:name w:val="st1"/>
    <w:basedOn w:val="Fuentedeprrafopredeter"/>
    <w:rsid w:val="0039744F"/>
  </w:style>
  <w:style w:type="paragraph" w:styleId="Prrafodelista">
    <w:name w:val="List Paragraph"/>
    <w:aliases w:val="FORMATO IMEEI,Cuadro 2-1,Viñeta,Titulo de Fígura,TITULO A,Párrafo 2,Fundamentacion,Footnote,List Paragraph1,Lista vistosa - Énfasis 11,Párrafo,Título Tablas y Figuras,Texto parrafo numerado,Lista 123,Párrafo de asunto"/>
    <w:basedOn w:val="Normal"/>
    <w:link w:val="PrrafodelistaCar"/>
    <w:uiPriority w:val="34"/>
    <w:qFormat/>
    <w:rsid w:val="00596D06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5E3E13"/>
  </w:style>
  <w:style w:type="paragraph" w:customStyle="1" w:styleId="Prrafodelista2">
    <w:name w:val="Párrafo de lista2"/>
    <w:basedOn w:val="Normal"/>
    <w:rsid w:val="000C73DA"/>
    <w:pPr>
      <w:ind w:left="720"/>
      <w:contextualSpacing/>
    </w:pPr>
  </w:style>
  <w:style w:type="table" w:styleId="Tablaconcuadrcula">
    <w:name w:val="Table Grid"/>
    <w:basedOn w:val="Tablanormal"/>
    <w:locked/>
    <w:rsid w:val="0044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rsid w:val="00697822"/>
  </w:style>
  <w:style w:type="character" w:customStyle="1" w:styleId="TextonotaalfinalCar">
    <w:name w:val="Texto nota al final Car"/>
    <w:link w:val="Textonotaalfinal"/>
    <w:uiPriority w:val="99"/>
    <w:rsid w:val="00697822"/>
  </w:style>
  <w:style w:type="character" w:styleId="Refdenotaalfinal">
    <w:name w:val="endnote reference"/>
    <w:uiPriority w:val="99"/>
    <w:rsid w:val="00697822"/>
    <w:rPr>
      <w:vertAlign w:val="superscript"/>
    </w:rPr>
  </w:style>
  <w:style w:type="character" w:customStyle="1" w:styleId="PrrafodelistaCar">
    <w:name w:val="Párrafo de lista Car"/>
    <w:aliases w:val="FORMATO IMEEI Car,Cuadro 2-1 Car,Viñeta Car,Titulo de Fígura Car,TITULO A Car,Párrafo 2 Car,Fundamentacion Car,Footnote Car,List Paragraph1 Car,Lista vistosa - Énfasis 11 Car,Párrafo Car,Título Tablas y Figuras Car,Lista 123 Car"/>
    <w:link w:val="Prrafodelista"/>
    <w:uiPriority w:val="34"/>
    <w:qFormat/>
    <w:rsid w:val="00EF6B7A"/>
  </w:style>
  <w:style w:type="paragraph" w:customStyle="1" w:styleId="3">
    <w:name w:val="3"/>
    <w:basedOn w:val="Normal"/>
    <w:next w:val="Sangradetextonormal"/>
    <w:uiPriority w:val="99"/>
    <w:rsid w:val="00B67D13"/>
    <w:pPr>
      <w:ind w:left="1080"/>
      <w:jc w:val="both"/>
    </w:pPr>
    <w:rPr>
      <w:rFonts w:ascii="Arial" w:eastAsia="MS Mincho" w:hAnsi="Arial" w:cs="Arial"/>
      <w:i/>
      <w:sz w:val="22"/>
    </w:rPr>
  </w:style>
  <w:style w:type="paragraph" w:styleId="Sangradetextonormal">
    <w:name w:val="Body Text Indent"/>
    <w:basedOn w:val="Normal"/>
    <w:link w:val="SangradetextonormalCar"/>
    <w:rsid w:val="00B67D1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B67D13"/>
  </w:style>
  <w:style w:type="character" w:styleId="Refdecomentario">
    <w:name w:val="annotation reference"/>
    <w:rsid w:val="0031006E"/>
    <w:rPr>
      <w:sz w:val="16"/>
    </w:rPr>
  </w:style>
  <w:style w:type="paragraph" w:styleId="Textocomentario">
    <w:name w:val="annotation text"/>
    <w:basedOn w:val="Normal"/>
    <w:link w:val="TextocomentarioCar"/>
    <w:rsid w:val="0031006E"/>
  </w:style>
  <w:style w:type="character" w:customStyle="1" w:styleId="TextocomentarioCar">
    <w:name w:val="Texto comentario Car"/>
    <w:link w:val="Textocomentario"/>
    <w:rsid w:val="0031006E"/>
  </w:style>
  <w:style w:type="paragraph" w:styleId="Asuntodelcomentario">
    <w:name w:val="annotation subject"/>
    <w:basedOn w:val="Textocomentario"/>
    <w:next w:val="Textocomentario"/>
    <w:link w:val="AsuntodelcomentarioCar"/>
    <w:rsid w:val="0031006E"/>
    <w:rPr>
      <w:b/>
    </w:rPr>
  </w:style>
  <w:style w:type="character" w:customStyle="1" w:styleId="AsuntodelcomentarioCar">
    <w:name w:val="Asunto del comentario Car"/>
    <w:link w:val="Asuntodelcomentario"/>
    <w:rsid w:val="0031006E"/>
    <w:rPr>
      <w:b/>
    </w:rPr>
  </w:style>
  <w:style w:type="character" w:styleId="nfasis">
    <w:name w:val="Emphasis"/>
    <w:qFormat/>
    <w:locked/>
    <w:rsid w:val="001A74B2"/>
    <w:rPr>
      <w:i/>
    </w:rPr>
  </w:style>
  <w:style w:type="paragraph" w:styleId="Revisin">
    <w:name w:val="Revision"/>
    <w:hidden/>
    <w:uiPriority w:val="99"/>
    <w:semiHidden/>
    <w:rsid w:val="00036959"/>
  </w:style>
  <w:style w:type="paragraph" w:customStyle="1" w:styleId="P68B1DB1-Normal1">
    <w:name w:val="P68B1DB1-Normal1"/>
    <w:basedOn w:val="Normal"/>
    <w:rPr>
      <w:rFonts w:ascii="Arial" w:hAnsi="Arial" w:cs="Arial"/>
      <w:b/>
      <w:sz w:val="22"/>
    </w:rPr>
  </w:style>
  <w:style w:type="paragraph" w:customStyle="1" w:styleId="P68B1DB1-Normal2">
    <w:name w:val="P68B1DB1-Normal2"/>
    <w:basedOn w:val="Normal"/>
    <w:rPr>
      <w:rFonts w:ascii="Arial" w:hAnsi="Arial" w:cs="Arial"/>
      <w:sz w:val="22"/>
    </w:rPr>
  </w:style>
  <w:style w:type="paragraph" w:customStyle="1" w:styleId="P68B1DB1-Normal3">
    <w:name w:val="P68B1DB1-Normal3"/>
    <w:basedOn w:val="Normal"/>
    <w:rPr>
      <w:rFonts w:ascii="Arial" w:hAnsi="Arial" w:cs="Arial"/>
      <w:b/>
      <w:sz w:val="18"/>
    </w:rPr>
  </w:style>
  <w:style w:type="paragraph" w:customStyle="1" w:styleId="P68B1DB1-Normal4">
    <w:name w:val="P68B1DB1-Normal4"/>
    <w:basedOn w:val="Normal"/>
    <w:rPr>
      <w:rFonts w:ascii="Arial" w:hAnsi="Arial" w:cs="Arial"/>
      <w:b/>
    </w:rPr>
  </w:style>
  <w:style w:type="paragraph" w:customStyle="1" w:styleId="P68B1DB1-Normal5">
    <w:name w:val="P68B1DB1-Normal5"/>
    <w:basedOn w:val="Normal"/>
    <w:rPr>
      <w:rFonts w:ascii="Arial" w:hAnsi="Arial" w:cs="Arial"/>
    </w:rPr>
  </w:style>
  <w:style w:type="paragraph" w:customStyle="1" w:styleId="P68B1DB1-Normal6">
    <w:name w:val="P68B1DB1-Normal6"/>
    <w:basedOn w:val="Normal"/>
    <w:rPr>
      <w:rFonts w:ascii="Arial" w:hAnsi="Arial" w:cs="Arial"/>
      <w:sz w:val="16"/>
    </w:rPr>
  </w:style>
  <w:style w:type="paragraph" w:customStyle="1" w:styleId="P68B1DB1-Normal7">
    <w:name w:val="P68B1DB1-Normal7"/>
    <w:basedOn w:val="Normal"/>
    <w:rPr>
      <w:rFonts w:ascii="Arial" w:hAnsi="Arial" w:cs="Arial"/>
      <w:color w:val="000000"/>
      <w:sz w:val="16"/>
    </w:rPr>
  </w:style>
  <w:style w:type="paragraph" w:customStyle="1" w:styleId="P68B1DB1-Normal8">
    <w:name w:val="P68B1DB1-Normal8"/>
    <w:basedOn w:val="Normal"/>
    <w:rPr>
      <w:rFonts w:ascii="Arial" w:hAnsi="Arial" w:cs="Arial"/>
      <w:b/>
      <w:color w:val="000000"/>
      <w:sz w:val="16"/>
    </w:rPr>
  </w:style>
  <w:style w:type="paragraph" w:customStyle="1" w:styleId="P68B1DB1-Normal9">
    <w:name w:val="P68B1DB1-Normal9"/>
    <w:basedOn w:val="Normal"/>
    <w:rPr>
      <w:rFonts w:ascii="Arial" w:hAnsi="Arial" w:cs="Arial"/>
      <w:i/>
      <w:sz w:val="14"/>
    </w:rPr>
  </w:style>
  <w:style w:type="paragraph" w:customStyle="1" w:styleId="P68B1DB1-Normal10">
    <w:name w:val="P68B1DB1-Normal10"/>
    <w:basedOn w:val="Normal"/>
    <w:rPr>
      <w:rFonts w:ascii="Arial" w:hAnsi="Arial" w:cs="Arial"/>
      <w:sz w:val="21"/>
    </w:rPr>
  </w:style>
  <w:style w:type="paragraph" w:customStyle="1" w:styleId="P68B1DB1-ListParagraph11">
    <w:name w:val="P68B1DB1-ListParagraph11"/>
    <w:basedOn w:val="Prrafodelista"/>
    <w:rPr>
      <w:rFonts w:ascii="Arial" w:hAnsi="Arial" w:cs="Arial"/>
      <w:b/>
      <w:sz w:val="22"/>
    </w:rPr>
  </w:style>
  <w:style w:type="paragraph" w:customStyle="1" w:styleId="P68B1DB1-BodyText12">
    <w:name w:val="P68B1DB1-BodyText12"/>
    <w:basedOn w:val="Textoindependiente"/>
    <w:rPr>
      <w:rFonts w:cs="Arial"/>
      <w:b w:val="0"/>
    </w:rPr>
  </w:style>
  <w:style w:type="paragraph" w:customStyle="1" w:styleId="P68B1DB1-Normal13">
    <w:name w:val="P68B1DB1-Normal13"/>
    <w:basedOn w:val="Normal"/>
    <w:rPr>
      <w:rFonts w:ascii="Arial" w:hAnsi="Arial" w:cs="Arial"/>
      <w:sz w:val="18"/>
    </w:rPr>
  </w:style>
  <w:style w:type="paragraph" w:customStyle="1" w:styleId="P68B1DB1-Normal14">
    <w:name w:val="P68B1DB1-Normal14"/>
    <w:basedOn w:val="Normal"/>
    <w:rPr>
      <w:rFonts w:ascii="Arial" w:hAnsi="Arial" w:cs="Arial"/>
      <w:color w:val="000000"/>
      <w:sz w:val="18"/>
    </w:rPr>
  </w:style>
  <w:style w:type="paragraph" w:customStyle="1" w:styleId="P68B1DB1-Normal15">
    <w:name w:val="P68B1DB1-Normal15"/>
    <w:basedOn w:val="Normal"/>
    <w:rPr>
      <w:rFonts w:ascii="Arial" w:hAnsi="Arial" w:cs="Arial"/>
      <w:b/>
      <w:color w:val="000000"/>
      <w:sz w:val="18"/>
    </w:rPr>
  </w:style>
  <w:style w:type="paragraph" w:customStyle="1" w:styleId="P68B1DB1-FootnoteText16">
    <w:name w:val="P68B1DB1-FootnoteText16"/>
    <w:basedOn w:val="Textonotapie"/>
    <w:rPr>
      <w:rFonts w:ascii="Arial" w:hAnsi="Arial" w:cs="Arial"/>
      <w:sz w:val="16"/>
    </w:rPr>
  </w:style>
  <w:style w:type="paragraph" w:customStyle="1" w:styleId="P68B1DB1-ListParagraph17">
    <w:name w:val="P68B1DB1-ListParagraph17"/>
    <w:basedOn w:val="Prrafodelista"/>
    <w:rPr>
      <w:rFonts w:ascii="Arial" w:hAnsi="Arial" w:cs="Arial"/>
      <w:sz w:val="22"/>
    </w:rPr>
  </w:style>
  <w:style w:type="paragraph" w:customStyle="1" w:styleId="P68B1DB1-BodyText18">
    <w:name w:val="P68B1DB1-BodyText18"/>
    <w:basedOn w:val="Textoindependiente"/>
    <w:rPr>
      <w:rFonts w:cs="Arial"/>
    </w:rPr>
  </w:style>
  <w:style w:type="paragraph" w:customStyle="1" w:styleId="P68B1DB1-Normal19">
    <w:name w:val="P68B1DB1-Normal19"/>
    <w:basedOn w:val="Normal"/>
    <w:rPr>
      <w:rFonts w:ascii="Arial" w:hAnsi="Arial" w:cs="Arial"/>
      <w:b/>
      <w:color w:val="000000"/>
      <w:sz w:val="14"/>
    </w:rPr>
  </w:style>
  <w:style w:type="paragraph" w:customStyle="1" w:styleId="P68B1DB1-Normal20">
    <w:name w:val="P68B1DB1-Normal20"/>
    <w:basedOn w:val="Normal"/>
    <w:rPr>
      <w:rFonts w:ascii="Arial" w:hAnsi="Arial" w:cs="Arial"/>
      <w:b/>
      <w:sz w:val="14"/>
    </w:rPr>
  </w:style>
  <w:style w:type="paragraph" w:customStyle="1" w:styleId="P68B1DB1-Normal21">
    <w:name w:val="P68B1DB1-Normal21"/>
    <w:basedOn w:val="Normal"/>
    <w:rPr>
      <w:rFonts w:ascii="Arial" w:hAnsi="Arial" w:cs="Arial"/>
      <w:color w:val="000000"/>
      <w:sz w:val="14"/>
    </w:rPr>
  </w:style>
  <w:style w:type="paragraph" w:customStyle="1" w:styleId="P68B1DB1-Normal22">
    <w:name w:val="P68B1DB1-Normal22"/>
    <w:basedOn w:val="Normal"/>
    <w:rPr>
      <w:rFonts w:ascii="Arial" w:hAnsi="Arial" w:cs="Arial"/>
      <w:sz w:val="14"/>
    </w:rPr>
  </w:style>
  <w:style w:type="paragraph" w:customStyle="1" w:styleId="P68B1DB1-Normal23">
    <w:name w:val="P68B1DB1-Normal23"/>
    <w:basedOn w:val="Normal"/>
    <w:rPr>
      <w:rFonts w:ascii="Arial" w:hAnsi="Arial" w:cs="Arial"/>
      <w:i/>
      <w:sz w:val="18"/>
    </w:rPr>
  </w:style>
  <w:style w:type="paragraph" w:customStyle="1" w:styleId="P68B1DB1-Header24">
    <w:name w:val="P68B1DB1-Header24"/>
    <w:basedOn w:val="Encabezado"/>
    <w:rPr>
      <w:sz w:val="24"/>
    </w:rPr>
  </w:style>
  <w:style w:type="paragraph" w:customStyle="1" w:styleId="P68B1DB1-Footer25">
    <w:name w:val="P68B1DB1-Footer25"/>
    <w:basedOn w:val="Piedepgin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9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613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C102780C356146B48ADBACCE6F7D82" ma:contentTypeVersion="12" ma:contentTypeDescription="Crear nuevo documento." ma:contentTypeScope="" ma:versionID="83713aa8ee002cc43b4ddf0a197f045d">
  <xsd:schema xmlns:xsd="http://www.w3.org/2001/XMLSchema" xmlns:xs="http://www.w3.org/2001/XMLSchema" xmlns:p="http://schemas.microsoft.com/office/2006/metadata/properties" xmlns:ns3="24ed56f6-49c1-48af-bad3-0ae8c62035ac" xmlns:ns4="92faa446-85af-446c-ac93-7b6a39f377d0" targetNamespace="http://schemas.microsoft.com/office/2006/metadata/properties" ma:root="true" ma:fieldsID="868f4ce24e859ec038a7e4b24d2860f0" ns3:_="" ns4:_="">
    <xsd:import namespace="24ed56f6-49c1-48af-bad3-0ae8c62035ac"/>
    <xsd:import namespace="92faa446-85af-446c-ac93-7b6a39f377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d56f6-49c1-48af-bad3-0ae8c6203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aa446-85af-446c-ac93-7b6a39f37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3004-1879-49E0-9AAE-7B7D6E10F0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7B9DA4-6DAA-4CD0-A4C9-DABE456C7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DFC29-7693-4CA9-BE24-50ECECE4F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d56f6-49c1-48af-bad3-0ae8c62035ac"/>
    <ds:schemaRef ds:uri="92faa446-85af-446c-ac93-7b6a39f37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720BF8-2FBE-4307-9D2C-F51671C4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DE TRANSPARENCIA</vt:lpstr>
    </vt:vector>
  </TitlesOfParts>
  <Company>Petroperú S.A.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DE TRANSPARENCIA</dc:title>
  <dc:subject/>
  <dc:creator>jarenas</dc:creator>
  <cp:keywords/>
  <cp:lastModifiedBy>Elias Alberto Rivas Galarza</cp:lastModifiedBy>
  <cp:revision>2</cp:revision>
  <cp:lastPrinted>2020-01-29T21:31:00Z</cp:lastPrinted>
  <dcterms:created xsi:type="dcterms:W3CDTF">2021-08-20T21:28:00Z</dcterms:created>
  <dcterms:modified xsi:type="dcterms:W3CDTF">2021-08-20T21:28:00Z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0x010100E5C102780C356146B48ADBACCE6F7D82</vt:lpwstr>
  </property>
</Properties>
</file>