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7A71D" w14:textId="77777777" w:rsidR="003B7EA2" w:rsidRPr="007C0254" w:rsidRDefault="007C0254">
      <w:pPr>
        <w:pStyle w:val="P68B1DB1-Normal1"/>
        <w:ind w:right="20"/>
        <w:jc w:val="center"/>
        <w:rPr>
          <w:sz w:val="22"/>
          <w:szCs w:val="22"/>
        </w:rPr>
      </w:pPr>
      <w:bookmarkStart w:id="0" w:name="page1"/>
      <w:bookmarkEnd w:id="0"/>
      <w:r w:rsidRPr="007C0254">
        <w:rPr>
          <w:sz w:val="22"/>
          <w:szCs w:val="22"/>
        </w:rPr>
        <w:t>FORM No. 17</w:t>
      </w:r>
    </w:p>
    <w:p w14:paraId="32A7A71E" w14:textId="77777777" w:rsidR="003B7EA2" w:rsidRPr="007C0254" w:rsidRDefault="003B7EA2">
      <w:pPr>
        <w:spacing w:line="33" w:lineRule="exact"/>
        <w:rPr>
          <w:rFonts w:ascii="Arial" w:hAnsi="Arial" w:cs="Arial"/>
          <w:szCs w:val="22"/>
        </w:rPr>
      </w:pPr>
    </w:p>
    <w:p w14:paraId="32A7A71F" w14:textId="77777777" w:rsidR="003B7EA2" w:rsidRPr="007C0254" w:rsidRDefault="007C0254">
      <w:pPr>
        <w:pStyle w:val="P68B1DB1-Normal1"/>
        <w:ind w:right="20"/>
        <w:jc w:val="center"/>
        <w:rPr>
          <w:sz w:val="22"/>
          <w:szCs w:val="22"/>
        </w:rPr>
      </w:pPr>
      <w:r w:rsidRPr="007C0254">
        <w:rPr>
          <w:sz w:val="22"/>
          <w:szCs w:val="22"/>
        </w:rPr>
        <w:t>PETROPERÚ S.A. - INVESTMENT PROJECT SHEETS</w:t>
      </w:r>
    </w:p>
    <w:p w14:paraId="32A7A720" w14:textId="77777777" w:rsidR="003B7EA2" w:rsidRPr="007C0254" w:rsidRDefault="003B7EA2">
      <w:pPr>
        <w:spacing w:line="33" w:lineRule="exact"/>
        <w:rPr>
          <w:rFonts w:ascii="Arial" w:hAnsi="Arial" w:cs="Arial"/>
          <w:szCs w:val="22"/>
        </w:rPr>
      </w:pPr>
    </w:p>
    <w:p w14:paraId="53FFB04F" w14:textId="77777777" w:rsidR="008713D1" w:rsidRPr="007C0254" w:rsidRDefault="007C0254" w:rsidP="00107169">
      <w:pPr>
        <w:pStyle w:val="P68B1DB1-Normal1"/>
        <w:ind w:right="20"/>
        <w:jc w:val="center"/>
        <w:rPr>
          <w:sz w:val="22"/>
          <w:szCs w:val="22"/>
        </w:rPr>
      </w:pPr>
      <w:r w:rsidRPr="007C0254">
        <w:rPr>
          <w:sz w:val="22"/>
          <w:szCs w:val="22"/>
        </w:rPr>
        <w:t>CONSTRUCTION OF THE NEW ILO TERMINAL</w:t>
      </w:r>
    </w:p>
    <w:p w14:paraId="34180DD2" w14:textId="3ED0314A" w:rsidR="00107169" w:rsidRPr="007C0254" w:rsidRDefault="00107169" w:rsidP="00107169">
      <w:pPr>
        <w:pStyle w:val="P68B1DB1-Normal1"/>
        <w:ind w:right="20"/>
        <w:jc w:val="center"/>
        <w:rPr>
          <w:sz w:val="22"/>
          <w:szCs w:val="22"/>
        </w:rPr>
        <w:sectPr w:rsidR="00107169" w:rsidRPr="007C0254" w:rsidSect="002D0EAB">
          <w:pgSz w:w="12240" w:h="15840"/>
          <w:pgMar w:top="1440" w:right="1440" w:bottom="1440" w:left="1440" w:header="0" w:footer="0" w:gutter="0"/>
          <w:cols w:space="720" w:equalWidth="0">
            <w:col w:w="9360"/>
          </w:cols>
          <w:docGrid w:linePitch="299"/>
        </w:sectPr>
      </w:pPr>
    </w:p>
    <w:p w14:paraId="277D0DB3" w14:textId="77777777" w:rsidR="00107169" w:rsidRPr="007C0254" w:rsidRDefault="00107169" w:rsidP="00107169">
      <w:pPr>
        <w:pStyle w:val="P68B1DB1-Normal1"/>
        <w:rPr>
          <w:sz w:val="22"/>
          <w:szCs w:val="22"/>
        </w:rPr>
      </w:pPr>
    </w:p>
    <w:p w14:paraId="0D8F7A9F" w14:textId="77777777" w:rsidR="00107169" w:rsidRPr="007C0254" w:rsidRDefault="007C0254" w:rsidP="00107169">
      <w:pPr>
        <w:pStyle w:val="P68B1DB1-Normal1"/>
        <w:rPr>
          <w:sz w:val="20"/>
        </w:rPr>
      </w:pPr>
      <w:r w:rsidRPr="007C0254">
        <w:rPr>
          <w:sz w:val="20"/>
        </w:rPr>
        <w:t>1. Description</w:t>
      </w:r>
    </w:p>
    <w:p w14:paraId="36C89A56" w14:textId="77777777" w:rsidR="00107169" w:rsidRPr="007C0254" w:rsidRDefault="007C0254" w:rsidP="00107169">
      <w:pPr>
        <w:pStyle w:val="P68B1DB1-Normal1"/>
        <w:rPr>
          <w:b w:val="0"/>
          <w:bCs/>
          <w:sz w:val="20"/>
        </w:rPr>
      </w:pPr>
      <w:r w:rsidRPr="007C0254">
        <w:rPr>
          <w:b w:val="0"/>
          <w:bCs/>
          <w:sz w:val="20"/>
        </w:rPr>
        <w:t xml:space="preserve">Located in the </w:t>
      </w:r>
      <w:proofErr w:type="spellStart"/>
      <w:r w:rsidRPr="007C0254">
        <w:rPr>
          <w:b w:val="0"/>
          <w:bCs/>
          <w:sz w:val="20"/>
        </w:rPr>
        <w:t>Ilo</w:t>
      </w:r>
      <w:proofErr w:type="spellEnd"/>
      <w:r w:rsidRPr="007C0254">
        <w:rPr>
          <w:b w:val="0"/>
          <w:bCs/>
          <w:sz w:val="20"/>
        </w:rPr>
        <w:t xml:space="preserve"> province, with a storage capacity of 1,053 MB and 19 unloading arms and 01 loading arm that will be developed in 4 stages. The 1st Stage has a capacity of 296 MB, 16 unloading arms and 01 loading arm.</w:t>
      </w:r>
    </w:p>
    <w:p w14:paraId="32A7A727" w14:textId="46C96230" w:rsidR="003B7EA2" w:rsidRPr="007C0254" w:rsidRDefault="007C0254" w:rsidP="00107169">
      <w:pPr>
        <w:pStyle w:val="P68B1DB1-Normal1"/>
        <w:rPr>
          <w:b w:val="0"/>
          <w:bCs/>
          <w:sz w:val="20"/>
        </w:rPr>
      </w:pPr>
      <w:r w:rsidRPr="007C0254">
        <w:rPr>
          <w:b w:val="0"/>
          <w:bCs/>
          <w:sz w:val="20"/>
        </w:rPr>
        <w:t>It will also include 03 18", 14" an</w:t>
      </w:r>
      <w:r w:rsidRPr="007C0254">
        <w:rPr>
          <w:b w:val="0"/>
          <w:bCs/>
          <w:sz w:val="20"/>
        </w:rPr>
        <w:t>d 10" submarine pipelines and a multi-buoy berth.</w:t>
      </w:r>
    </w:p>
    <w:p w14:paraId="32A7A728" w14:textId="77777777" w:rsidR="003B7EA2" w:rsidRPr="007C0254" w:rsidRDefault="003B7EA2">
      <w:pPr>
        <w:rPr>
          <w:rFonts w:ascii="Arial" w:hAnsi="Arial" w:cs="Arial"/>
          <w:sz w:val="20"/>
        </w:rPr>
        <w:sectPr w:rsidR="003B7EA2" w:rsidRPr="007C0254" w:rsidSect="002D0EAB">
          <w:type w:val="continuous"/>
          <w:pgSz w:w="12240" w:h="15840"/>
          <w:pgMar w:top="1440" w:right="1440" w:bottom="1440" w:left="1440" w:header="0" w:footer="0" w:gutter="0"/>
          <w:cols w:space="720"/>
          <w:docGrid w:linePitch="299"/>
        </w:sectPr>
      </w:pPr>
    </w:p>
    <w:p w14:paraId="4147FACA" w14:textId="77777777" w:rsidR="00107169" w:rsidRPr="007C0254" w:rsidRDefault="00107169" w:rsidP="00107169">
      <w:pPr>
        <w:pStyle w:val="P68B1DB1-Normal1"/>
        <w:tabs>
          <w:tab w:val="left" w:pos="560"/>
        </w:tabs>
        <w:rPr>
          <w:sz w:val="20"/>
        </w:rPr>
      </w:pPr>
    </w:p>
    <w:p w14:paraId="32A7A72B" w14:textId="1733059A" w:rsidR="003B7EA2" w:rsidRPr="007C0254" w:rsidRDefault="00107169" w:rsidP="00107169">
      <w:pPr>
        <w:pStyle w:val="P68B1DB1-Normal1"/>
        <w:tabs>
          <w:tab w:val="left" w:pos="560"/>
        </w:tabs>
        <w:rPr>
          <w:sz w:val="20"/>
        </w:rPr>
      </w:pPr>
      <w:r w:rsidRPr="007C0254">
        <w:rPr>
          <w:sz w:val="20"/>
        </w:rPr>
        <w:t xml:space="preserve">2. </w:t>
      </w:r>
      <w:r w:rsidR="007C0254" w:rsidRPr="007C0254">
        <w:rPr>
          <w:sz w:val="20"/>
        </w:rPr>
        <w:t>Investment Components</w:t>
      </w:r>
    </w:p>
    <w:p w14:paraId="2D0BF2EC" w14:textId="77777777" w:rsidR="00107169" w:rsidRPr="007C0254" w:rsidRDefault="007C0254" w:rsidP="00107169">
      <w:pPr>
        <w:pStyle w:val="P68B1DB1-Normal1"/>
        <w:rPr>
          <w:b w:val="0"/>
          <w:bCs/>
          <w:sz w:val="20"/>
        </w:rPr>
      </w:pPr>
      <w:r w:rsidRPr="007C0254">
        <w:rPr>
          <w:b w:val="0"/>
          <w:bCs/>
          <w:sz w:val="20"/>
        </w:rPr>
        <w:t>• Civil and sanitary works.</w:t>
      </w:r>
    </w:p>
    <w:p w14:paraId="7964BEFB" w14:textId="77777777" w:rsidR="00107169" w:rsidRPr="007C0254" w:rsidRDefault="007C0254" w:rsidP="00107169">
      <w:pPr>
        <w:pStyle w:val="P68B1DB1-Normal1"/>
        <w:rPr>
          <w:b w:val="0"/>
          <w:bCs/>
          <w:sz w:val="20"/>
        </w:rPr>
      </w:pPr>
      <w:r w:rsidRPr="007C0254">
        <w:rPr>
          <w:b w:val="0"/>
          <w:bCs/>
          <w:sz w:val="20"/>
        </w:rPr>
        <w:t>• Metalworking works.</w:t>
      </w:r>
    </w:p>
    <w:p w14:paraId="2901B561" w14:textId="77777777" w:rsidR="00107169" w:rsidRPr="007C0254" w:rsidRDefault="007C0254" w:rsidP="00107169">
      <w:pPr>
        <w:pStyle w:val="P68B1DB1-Normal1"/>
        <w:rPr>
          <w:b w:val="0"/>
          <w:bCs/>
          <w:sz w:val="20"/>
        </w:rPr>
      </w:pPr>
      <w:r w:rsidRPr="007C0254">
        <w:rPr>
          <w:b w:val="0"/>
          <w:bCs/>
          <w:sz w:val="20"/>
        </w:rPr>
        <w:t>• Fire Protection System.</w:t>
      </w:r>
    </w:p>
    <w:p w14:paraId="23F09FF0" w14:textId="77777777" w:rsidR="00107169" w:rsidRPr="007C0254" w:rsidRDefault="007C0254" w:rsidP="00107169">
      <w:pPr>
        <w:pStyle w:val="P68B1DB1-Normal1"/>
        <w:rPr>
          <w:b w:val="0"/>
          <w:bCs/>
          <w:sz w:val="20"/>
        </w:rPr>
      </w:pPr>
      <w:r w:rsidRPr="007C0254">
        <w:rPr>
          <w:b w:val="0"/>
          <w:bCs/>
          <w:sz w:val="20"/>
        </w:rPr>
        <w:t>• Liquid fuel storage tanks and submarine lines.</w:t>
      </w:r>
    </w:p>
    <w:p w14:paraId="32A7A734" w14:textId="668C0033" w:rsidR="003B7EA2" w:rsidRPr="007C0254" w:rsidRDefault="007C0254" w:rsidP="00107169">
      <w:pPr>
        <w:pStyle w:val="P68B1DB1-Normal1"/>
        <w:rPr>
          <w:b w:val="0"/>
          <w:bCs/>
          <w:sz w:val="20"/>
        </w:rPr>
      </w:pPr>
      <w:r w:rsidRPr="007C0254">
        <w:rPr>
          <w:b w:val="0"/>
          <w:bCs/>
          <w:sz w:val="20"/>
        </w:rPr>
        <w:t>• Office furniture and equipment.</w:t>
      </w:r>
    </w:p>
    <w:p w14:paraId="32A7A735" w14:textId="77777777" w:rsidR="003B7EA2" w:rsidRPr="007C0254" w:rsidRDefault="003B7EA2">
      <w:pPr>
        <w:spacing w:line="169" w:lineRule="exact"/>
        <w:rPr>
          <w:rFonts w:ascii="Arial" w:eastAsia="Arial" w:hAnsi="Arial" w:cs="Arial"/>
          <w:b/>
          <w:sz w:val="20"/>
        </w:rPr>
      </w:pPr>
    </w:p>
    <w:p w14:paraId="32A7A737" w14:textId="3C1AD0B8" w:rsidR="003B7EA2" w:rsidRPr="007C0254" w:rsidRDefault="00107169" w:rsidP="00107169">
      <w:pPr>
        <w:pStyle w:val="P68B1DB1-Normal1"/>
        <w:tabs>
          <w:tab w:val="left" w:pos="560"/>
        </w:tabs>
        <w:rPr>
          <w:sz w:val="20"/>
        </w:rPr>
      </w:pPr>
      <w:r w:rsidRPr="007C0254">
        <w:rPr>
          <w:sz w:val="20"/>
        </w:rPr>
        <w:t xml:space="preserve">3. </w:t>
      </w:r>
      <w:r w:rsidR="007C0254" w:rsidRPr="007C0254">
        <w:rPr>
          <w:sz w:val="20"/>
        </w:rPr>
        <w:t>Funding Source</w:t>
      </w:r>
    </w:p>
    <w:p w14:paraId="32A7A738" w14:textId="77777777" w:rsidR="003B7EA2" w:rsidRPr="007C0254" w:rsidRDefault="007C0254" w:rsidP="00107169">
      <w:pPr>
        <w:pStyle w:val="P68B1DB1-Normal1"/>
        <w:rPr>
          <w:b w:val="0"/>
          <w:bCs/>
          <w:sz w:val="20"/>
        </w:rPr>
      </w:pPr>
      <w:r w:rsidRPr="007C0254">
        <w:rPr>
          <w:b w:val="0"/>
          <w:bCs/>
          <w:sz w:val="20"/>
        </w:rPr>
        <w:t>PETROPERU S.A. proprietary resources.</w:t>
      </w:r>
    </w:p>
    <w:p w14:paraId="32A7A739" w14:textId="77777777" w:rsidR="003B7EA2" w:rsidRPr="007C0254" w:rsidRDefault="003B7EA2">
      <w:pPr>
        <w:spacing w:line="158" w:lineRule="exact"/>
        <w:rPr>
          <w:rFonts w:ascii="Arial" w:hAnsi="Arial" w:cs="Arial"/>
          <w:sz w:val="20"/>
        </w:rPr>
      </w:pPr>
    </w:p>
    <w:p w14:paraId="32A7A73A" w14:textId="77777777" w:rsidR="003B7EA2" w:rsidRPr="007C0254" w:rsidRDefault="007C0254" w:rsidP="00107169">
      <w:pPr>
        <w:pStyle w:val="P68B1DB1-Normal1"/>
        <w:rPr>
          <w:sz w:val="20"/>
        </w:rPr>
      </w:pPr>
      <w:r w:rsidRPr="007C0254">
        <w:rPr>
          <w:sz w:val="20"/>
        </w:rPr>
        <w:t>4. Physical and financial progress to Q IV</w:t>
      </w:r>
    </w:p>
    <w:p w14:paraId="32A7A73B" w14:textId="6388445D" w:rsidR="003B7EA2" w:rsidRPr="00350A70" w:rsidRDefault="003B7EA2">
      <w:pPr>
        <w:pStyle w:val="P68B1DB1-Normal3"/>
        <w:spacing w:line="20" w:lineRule="exact"/>
        <w:rPr>
          <w:rFonts w:ascii="Arial" w:hAnsi="Arial" w:cs="Arial"/>
        </w:rPr>
      </w:pPr>
    </w:p>
    <w:p w14:paraId="32A7A73C" w14:textId="77777777" w:rsidR="003B7EA2" w:rsidRPr="00350A70" w:rsidRDefault="003B7EA2">
      <w:pPr>
        <w:spacing w:line="263" w:lineRule="exact"/>
        <w:rPr>
          <w:rFonts w:ascii="Arial" w:hAnsi="Arial" w:cs="Arial"/>
          <w:sz w:val="24"/>
        </w:rPr>
      </w:pPr>
    </w:p>
    <w:tbl>
      <w:tblPr>
        <w:tblW w:w="89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00"/>
        <w:gridCol w:w="1170"/>
        <w:gridCol w:w="1080"/>
        <w:gridCol w:w="1260"/>
        <w:gridCol w:w="1170"/>
        <w:gridCol w:w="1260"/>
        <w:gridCol w:w="1170"/>
      </w:tblGrid>
      <w:tr w:rsidR="00107169" w:rsidRPr="00BA6152" w14:paraId="32A7A742" w14:textId="77777777" w:rsidTr="00107169">
        <w:trPr>
          <w:trHeight w:val="213"/>
        </w:trPr>
        <w:tc>
          <w:tcPr>
            <w:tcW w:w="1800" w:type="dxa"/>
            <w:vMerge w:val="restart"/>
            <w:vAlign w:val="center"/>
          </w:tcPr>
          <w:p w14:paraId="32A7A73D" w14:textId="53AE75C0" w:rsidR="00107169" w:rsidRPr="00BA6152" w:rsidRDefault="00107169" w:rsidP="00107169">
            <w:pPr>
              <w:jc w:val="center"/>
              <w:rPr>
                <w:rFonts w:ascii="Arial" w:hAnsi="Arial" w:cs="Arial"/>
                <w:sz w:val="18"/>
                <w:szCs w:val="18"/>
              </w:rPr>
            </w:pPr>
            <w:r w:rsidRPr="00BA6152">
              <w:rPr>
                <w:rFonts w:ascii="Arial" w:hAnsi="Arial" w:cs="Arial"/>
                <w:sz w:val="18"/>
                <w:szCs w:val="18"/>
              </w:rPr>
              <w:t>Components</w:t>
            </w:r>
          </w:p>
        </w:tc>
        <w:tc>
          <w:tcPr>
            <w:tcW w:w="4680" w:type="dxa"/>
            <w:gridSpan w:val="4"/>
            <w:vAlign w:val="center"/>
          </w:tcPr>
          <w:p w14:paraId="2BC57BFE" w14:textId="192A74CF" w:rsidR="00107169" w:rsidRPr="00BA6152" w:rsidRDefault="00107169" w:rsidP="00107169">
            <w:pPr>
              <w:jc w:val="center"/>
              <w:rPr>
                <w:rFonts w:ascii="Arial" w:hAnsi="Arial" w:cs="Arial"/>
                <w:sz w:val="18"/>
                <w:szCs w:val="18"/>
              </w:rPr>
            </w:pPr>
            <w:r w:rsidRPr="00BA6152">
              <w:rPr>
                <w:rFonts w:ascii="Arial" w:hAnsi="Arial" w:cs="Arial"/>
                <w:sz w:val="18"/>
                <w:szCs w:val="18"/>
              </w:rPr>
              <w:t>Financial Progress (</w:t>
            </w:r>
            <w:r w:rsidR="00097EF9">
              <w:rPr>
                <w:rFonts w:ascii="Arial" w:hAnsi="Arial" w:cs="Arial"/>
                <w:sz w:val="18"/>
                <w:szCs w:val="18"/>
              </w:rPr>
              <w:t>T</w:t>
            </w:r>
            <w:r w:rsidRPr="00BA6152">
              <w:rPr>
                <w:rFonts w:ascii="Arial" w:hAnsi="Arial" w:cs="Arial"/>
                <w:sz w:val="18"/>
                <w:szCs w:val="18"/>
              </w:rPr>
              <w:t>S/)</w:t>
            </w:r>
          </w:p>
        </w:tc>
        <w:tc>
          <w:tcPr>
            <w:tcW w:w="2430" w:type="dxa"/>
            <w:gridSpan w:val="2"/>
            <w:vAlign w:val="center"/>
          </w:tcPr>
          <w:p w14:paraId="59F5772E" w14:textId="77777777" w:rsidR="00107169" w:rsidRPr="00BA6152" w:rsidRDefault="00107169" w:rsidP="00107169">
            <w:pPr>
              <w:jc w:val="center"/>
              <w:rPr>
                <w:rFonts w:ascii="Arial" w:hAnsi="Arial" w:cs="Arial"/>
                <w:sz w:val="18"/>
                <w:szCs w:val="18"/>
              </w:rPr>
            </w:pPr>
            <w:r w:rsidRPr="00BA6152">
              <w:rPr>
                <w:rFonts w:ascii="Arial" w:hAnsi="Arial" w:cs="Arial"/>
                <w:sz w:val="18"/>
                <w:szCs w:val="18"/>
              </w:rPr>
              <w:t>Physical Progress (%)</w:t>
            </w:r>
          </w:p>
          <w:p w14:paraId="04EE3260" w14:textId="77777777" w:rsidR="00107169" w:rsidRPr="00BA6152" w:rsidRDefault="00107169" w:rsidP="00107169">
            <w:pPr>
              <w:jc w:val="center"/>
              <w:rPr>
                <w:rFonts w:ascii="Arial" w:hAnsi="Arial" w:cs="Arial"/>
                <w:sz w:val="18"/>
                <w:szCs w:val="18"/>
              </w:rPr>
            </w:pPr>
          </w:p>
        </w:tc>
      </w:tr>
      <w:tr w:rsidR="00BA6152" w:rsidRPr="00BA6152" w14:paraId="32A7A749" w14:textId="77777777" w:rsidTr="00107169">
        <w:trPr>
          <w:trHeight w:val="1096"/>
        </w:trPr>
        <w:tc>
          <w:tcPr>
            <w:tcW w:w="1800" w:type="dxa"/>
            <w:vMerge/>
            <w:vAlign w:val="center"/>
          </w:tcPr>
          <w:p w14:paraId="32A7A743" w14:textId="210E135A" w:rsidR="00BA6152" w:rsidRPr="00BA6152" w:rsidRDefault="00BA6152" w:rsidP="00107169">
            <w:pPr>
              <w:jc w:val="center"/>
              <w:rPr>
                <w:rFonts w:ascii="Arial" w:hAnsi="Arial" w:cs="Arial"/>
                <w:sz w:val="18"/>
                <w:szCs w:val="18"/>
              </w:rPr>
            </w:pPr>
          </w:p>
        </w:tc>
        <w:tc>
          <w:tcPr>
            <w:tcW w:w="1170" w:type="dxa"/>
            <w:vAlign w:val="center"/>
          </w:tcPr>
          <w:p w14:paraId="32A7A744" w14:textId="146427CB" w:rsidR="00BA6152" w:rsidRPr="000B767D" w:rsidRDefault="000B767D" w:rsidP="00107169">
            <w:pPr>
              <w:jc w:val="center"/>
              <w:rPr>
                <w:rFonts w:ascii="Arial" w:hAnsi="Arial" w:cs="Arial"/>
                <w:sz w:val="18"/>
                <w:szCs w:val="18"/>
              </w:rPr>
            </w:pPr>
            <w:r w:rsidRPr="00BA6152">
              <w:rPr>
                <w:rFonts w:ascii="Arial" w:hAnsi="Arial" w:cs="Arial"/>
                <w:sz w:val="18"/>
                <w:szCs w:val="18"/>
              </w:rPr>
              <w:t>Total</w:t>
            </w:r>
            <w:r w:rsidRPr="00BA6152">
              <w:rPr>
                <w:rFonts w:ascii="Arial" w:hAnsi="Arial" w:cs="Arial"/>
                <w:sz w:val="18"/>
                <w:szCs w:val="18"/>
              </w:rPr>
              <w:t xml:space="preserve"> </w:t>
            </w:r>
            <w:r w:rsidR="00BA6152" w:rsidRPr="00BA6152">
              <w:rPr>
                <w:rFonts w:ascii="Arial" w:hAnsi="Arial" w:cs="Arial"/>
                <w:sz w:val="18"/>
                <w:szCs w:val="18"/>
              </w:rPr>
              <w:t>Investment</w:t>
            </w:r>
            <w:r w:rsidR="00BA6152" w:rsidRPr="000B767D">
              <w:rPr>
                <w:rFonts w:ascii="Arial" w:hAnsi="Arial" w:cs="Arial"/>
                <w:sz w:val="18"/>
                <w:szCs w:val="18"/>
                <w:vertAlign w:val="superscript"/>
              </w:rPr>
              <w:t>1</w:t>
            </w:r>
          </w:p>
        </w:tc>
        <w:tc>
          <w:tcPr>
            <w:tcW w:w="1080" w:type="dxa"/>
            <w:vAlign w:val="center"/>
          </w:tcPr>
          <w:p w14:paraId="32A7A745" w14:textId="3EDB9126" w:rsidR="00BA6152" w:rsidRPr="00BA6152" w:rsidRDefault="000B767D" w:rsidP="00107169">
            <w:pPr>
              <w:jc w:val="center"/>
              <w:rPr>
                <w:rFonts w:ascii="Arial" w:hAnsi="Arial" w:cs="Arial"/>
                <w:sz w:val="18"/>
                <w:szCs w:val="18"/>
              </w:rPr>
            </w:pPr>
            <w:r w:rsidRPr="00BA6152">
              <w:rPr>
                <w:rFonts w:ascii="Arial" w:hAnsi="Arial" w:cs="Arial"/>
                <w:sz w:val="18"/>
                <w:szCs w:val="18"/>
              </w:rPr>
              <w:t>Cumulative</w:t>
            </w:r>
            <w:r w:rsidRPr="00BA6152">
              <w:rPr>
                <w:rFonts w:ascii="Arial" w:hAnsi="Arial" w:cs="Arial"/>
                <w:sz w:val="18"/>
                <w:szCs w:val="18"/>
              </w:rPr>
              <w:t xml:space="preserve"> </w:t>
            </w:r>
            <w:r w:rsidR="00BA6152" w:rsidRPr="00BA6152">
              <w:rPr>
                <w:rFonts w:ascii="Arial" w:hAnsi="Arial" w:cs="Arial"/>
                <w:sz w:val="18"/>
                <w:szCs w:val="18"/>
              </w:rPr>
              <w:t>Execution</w:t>
            </w:r>
          </w:p>
        </w:tc>
        <w:tc>
          <w:tcPr>
            <w:tcW w:w="1260" w:type="dxa"/>
            <w:vAlign w:val="center"/>
          </w:tcPr>
          <w:p w14:paraId="389B86B3" w14:textId="77777777" w:rsidR="000B767D" w:rsidRDefault="00BA6152" w:rsidP="00107169">
            <w:pPr>
              <w:jc w:val="center"/>
              <w:rPr>
                <w:rFonts w:ascii="Arial" w:hAnsi="Arial" w:cs="Arial"/>
                <w:sz w:val="18"/>
                <w:szCs w:val="18"/>
              </w:rPr>
            </w:pPr>
            <w:proofErr w:type="spellStart"/>
            <w:r w:rsidRPr="00BA6152">
              <w:rPr>
                <w:rFonts w:ascii="Arial" w:hAnsi="Arial" w:cs="Arial"/>
                <w:sz w:val="18"/>
                <w:szCs w:val="18"/>
              </w:rPr>
              <w:t>Budget</w:t>
            </w:r>
            <w:proofErr w:type="spellEnd"/>
          </w:p>
          <w:p w14:paraId="32A7A746" w14:textId="474EE45C" w:rsidR="00BA6152" w:rsidRPr="00BA6152" w:rsidRDefault="00BA6152" w:rsidP="00107169">
            <w:pPr>
              <w:jc w:val="center"/>
              <w:rPr>
                <w:rFonts w:ascii="Arial" w:hAnsi="Arial" w:cs="Arial"/>
                <w:sz w:val="18"/>
                <w:szCs w:val="18"/>
              </w:rPr>
            </w:pPr>
            <w:r w:rsidRPr="00BA6152">
              <w:rPr>
                <w:rFonts w:ascii="Arial" w:hAnsi="Arial" w:cs="Arial"/>
                <w:sz w:val="18"/>
                <w:szCs w:val="18"/>
              </w:rPr>
              <w:t>Year 2021</w:t>
            </w:r>
            <w:r w:rsidRPr="000B767D">
              <w:rPr>
                <w:rFonts w:ascii="Arial" w:hAnsi="Arial" w:cs="Arial"/>
                <w:sz w:val="18"/>
                <w:szCs w:val="18"/>
                <w:vertAlign w:val="superscript"/>
              </w:rPr>
              <w:t>2</w:t>
            </w:r>
          </w:p>
        </w:tc>
        <w:tc>
          <w:tcPr>
            <w:tcW w:w="1170" w:type="dxa"/>
            <w:vAlign w:val="center"/>
          </w:tcPr>
          <w:p w14:paraId="30AF4C28" w14:textId="125F1103" w:rsidR="00BA6152" w:rsidRPr="00BA6152" w:rsidRDefault="00BA6152" w:rsidP="00107169">
            <w:pPr>
              <w:jc w:val="center"/>
              <w:rPr>
                <w:rFonts w:ascii="Arial" w:hAnsi="Arial" w:cs="Arial"/>
                <w:sz w:val="18"/>
                <w:szCs w:val="18"/>
              </w:rPr>
            </w:pPr>
            <w:r w:rsidRPr="00BA6152">
              <w:rPr>
                <w:rFonts w:ascii="Arial" w:hAnsi="Arial" w:cs="Arial"/>
                <w:sz w:val="18"/>
                <w:szCs w:val="18"/>
              </w:rPr>
              <w:t>Execution</w:t>
            </w:r>
            <w:r w:rsidR="000B767D">
              <w:rPr>
                <w:rFonts w:ascii="Arial" w:hAnsi="Arial" w:cs="Arial"/>
                <w:sz w:val="18"/>
                <w:szCs w:val="18"/>
              </w:rPr>
              <w:t xml:space="preserve"> </w:t>
            </w:r>
            <w:r w:rsidRPr="00BA6152">
              <w:rPr>
                <w:rFonts w:ascii="Arial" w:hAnsi="Arial" w:cs="Arial"/>
                <w:sz w:val="18"/>
                <w:szCs w:val="18"/>
              </w:rPr>
              <w:t>Year 2021</w:t>
            </w:r>
          </w:p>
        </w:tc>
        <w:tc>
          <w:tcPr>
            <w:tcW w:w="1260" w:type="dxa"/>
            <w:vAlign w:val="center"/>
          </w:tcPr>
          <w:p w14:paraId="32A7A747" w14:textId="27CB8A0F" w:rsidR="00BA6152" w:rsidRPr="00BA6152" w:rsidRDefault="00BA6152" w:rsidP="00107169">
            <w:pPr>
              <w:jc w:val="center"/>
              <w:rPr>
                <w:rFonts w:ascii="Arial" w:hAnsi="Arial" w:cs="Arial"/>
                <w:sz w:val="18"/>
                <w:szCs w:val="18"/>
              </w:rPr>
            </w:pPr>
            <w:r w:rsidRPr="00BA6152">
              <w:rPr>
                <w:rFonts w:ascii="Arial" w:hAnsi="Arial" w:cs="Arial"/>
                <w:sz w:val="18"/>
                <w:szCs w:val="18"/>
              </w:rPr>
              <w:t>Scheduled</w:t>
            </w:r>
            <w:r>
              <w:rPr>
                <w:rFonts w:ascii="Arial" w:hAnsi="Arial" w:cs="Arial"/>
                <w:sz w:val="18"/>
                <w:szCs w:val="18"/>
              </w:rPr>
              <w:t xml:space="preserve"> </w:t>
            </w:r>
            <w:r w:rsidRPr="00BA6152">
              <w:rPr>
                <w:rFonts w:ascii="Arial" w:hAnsi="Arial" w:cs="Arial"/>
                <w:sz w:val="18"/>
                <w:szCs w:val="18"/>
              </w:rPr>
              <w:t>to Q IV</w:t>
            </w:r>
          </w:p>
        </w:tc>
        <w:tc>
          <w:tcPr>
            <w:tcW w:w="1170" w:type="dxa"/>
            <w:vAlign w:val="center"/>
          </w:tcPr>
          <w:p w14:paraId="4E0B59E5" w14:textId="77777777" w:rsidR="00BA6152" w:rsidRPr="00BA6152" w:rsidRDefault="00BA6152" w:rsidP="00107169">
            <w:pPr>
              <w:jc w:val="center"/>
              <w:rPr>
                <w:rFonts w:ascii="Arial" w:hAnsi="Arial" w:cs="Arial"/>
                <w:sz w:val="18"/>
                <w:szCs w:val="18"/>
              </w:rPr>
            </w:pPr>
            <w:r w:rsidRPr="00BA6152">
              <w:rPr>
                <w:rFonts w:ascii="Arial" w:hAnsi="Arial" w:cs="Arial"/>
                <w:sz w:val="18"/>
                <w:szCs w:val="18"/>
              </w:rPr>
              <w:t>Real</w:t>
            </w:r>
          </w:p>
          <w:p w14:paraId="33F8B37B" w14:textId="248476D1" w:rsidR="00BA6152" w:rsidRPr="00BA6152" w:rsidRDefault="00BA6152" w:rsidP="00107169">
            <w:pPr>
              <w:jc w:val="center"/>
              <w:rPr>
                <w:rFonts w:ascii="Arial" w:hAnsi="Arial" w:cs="Arial"/>
                <w:sz w:val="18"/>
                <w:szCs w:val="18"/>
              </w:rPr>
            </w:pPr>
            <w:r w:rsidRPr="00BA6152">
              <w:rPr>
                <w:rFonts w:ascii="Arial" w:hAnsi="Arial" w:cs="Arial"/>
                <w:sz w:val="18"/>
                <w:szCs w:val="18"/>
              </w:rPr>
              <w:t>to Q IV</w:t>
            </w:r>
          </w:p>
        </w:tc>
      </w:tr>
      <w:tr w:rsidR="00BA6152" w:rsidRPr="00BA6152" w14:paraId="32A7A75E" w14:textId="77777777" w:rsidTr="00107169">
        <w:trPr>
          <w:trHeight w:val="382"/>
        </w:trPr>
        <w:tc>
          <w:tcPr>
            <w:tcW w:w="1800" w:type="dxa"/>
            <w:vAlign w:val="center"/>
          </w:tcPr>
          <w:p w14:paraId="32A7A758" w14:textId="77777777" w:rsidR="00BA6152" w:rsidRPr="00BA6152" w:rsidRDefault="00BA6152" w:rsidP="00107169">
            <w:pPr>
              <w:rPr>
                <w:rFonts w:ascii="Arial" w:hAnsi="Arial" w:cs="Arial"/>
                <w:sz w:val="18"/>
                <w:szCs w:val="18"/>
              </w:rPr>
            </w:pPr>
            <w:r w:rsidRPr="00BA6152">
              <w:rPr>
                <w:rFonts w:ascii="Arial" w:hAnsi="Arial" w:cs="Arial"/>
                <w:sz w:val="18"/>
                <w:szCs w:val="18"/>
              </w:rPr>
              <w:t xml:space="preserve">Studies and </w:t>
            </w:r>
            <w:proofErr w:type="gramStart"/>
            <w:r w:rsidRPr="00BA6152">
              <w:rPr>
                <w:rFonts w:ascii="Arial" w:hAnsi="Arial" w:cs="Arial"/>
                <w:sz w:val="18"/>
                <w:szCs w:val="18"/>
              </w:rPr>
              <w:t>Permits</w:t>
            </w:r>
            <w:proofErr w:type="gramEnd"/>
          </w:p>
        </w:tc>
        <w:tc>
          <w:tcPr>
            <w:tcW w:w="1170" w:type="dxa"/>
            <w:vAlign w:val="center"/>
          </w:tcPr>
          <w:p w14:paraId="32A7A759" w14:textId="77777777" w:rsidR="00BA6152" w:rsidRPr="00BA6152" w:rsidRDefault="00BA6152" w:rsidP="00107169">
            <w:pPr>
              <w:jc w:val="center"/>
              <w:rPr>
                <w:rFonts w:ascii="Arial" w:hAnsi="Arial" w:cs="Arial"/>
                <w:sz w:val="18"/>
                <w:szCs w:val="18"/>
              </w:rPr>
            </w:pPr>
            <w:r w:rsidRPr="00BA6152">
              <w:rPr>
                <w:rFonts w:ascii="Arial" w:hAnsi="Arial" w:cs="Arial"/>
                <w:sz w:val="18"/>
                <w:szCs w:val="18"/>
              </w:rPr>
              <w:t>5,704</w:t>
            </w:r>
          </w:p>
        </w:tc>
        <w:tc>
          <w:tcPr>
            <w:tcW w:w="1080" w:type="dxa"/>
            <w:vAlign w:val="center"/>
          </w:tcPr>
          <w:p w14:paraId="32A7A75A" w14:textId="77777777" w:rsidR="00BA6152" w:rsidRPr="00BA6152" w:rsidRDefault="00BA6152" w:rsidP="00107169">
            <w:pPr>
              <w:jc w:val="center"/>
              <w:rPr>
                <w:rFonts w:ascii="Arial" w:hAnsi="Arial" w:cs="Arial"/>
                <w:sz w:val="18"/>
                <w:szCs w:val="18"/>
              </w:rPr>
            </w:pPr>
            <w:r w:rsidRPr="00BA6152">
              <w:rPr>
                <w:rFonts w:ascii="Arial" w:hAnsi="Arial" w:cs="Arial"/>
                <w:sz w:val="18"/>
                <w:szCs w:val="18"/>
              </w:rPr>
              <w:t>5,704</w:t>
            </w:r>
          </w:p>
        </w:tc>
        <w:tc>
          <w:tcPr>
            <w:tcW w:w="1260" w:type="dxa"/>
            <w:vAlign w:val="center"/>
          </w:tcPr>
          <w:p w14:paraId="32A7A75B" w14:textId="77777777" w:rsidR="00BA6152" w:rsidRPr="00BA6152" w:rsidRDefault="00BA6152" w:rsidP="00107169">
            <w:pPr>
              <w:jc w:val="center"/>
              <w:rPr>
                <w:rFonts w:ascii="Arial" w:hAnsi="Arial" w:cs="Arial"/>
                <w:sz w:val="18"/>
                <w:szCs w:val="18"/>
              </w:rPr>
            </w:pPr>
            <w:r w:rsidRPr="00BA6152">
              <w:rPr>
                <w:rFonts w:ascii="Arial" w:hAnsi="Arial" w:cs="Arial"/>
                <w:sz w:val="18"/>
                <w:szCs w:val="18"/>
              </w:rPr>
              <w:t>---</w:t>
            </w:r>
          </w:p>
        </w:tc>
        <w:tc>
          <w:tcPr>
            <w:tcW w:w="1170" w:type="dxa"/>
            <w:vAlign w:val="center"/>
          </w:tcPr>
          <w:p w14:paraId="60C9D351" w14:textId="1B71B400" w:rsidR="00BA6152" w:rsidRPr="00BA6152" w:rsidRDefault="00BA6152" w:rsidP="00107169">
            <w:pPr>
              <w:jc w:val="center"/>
              <w:rPr>
                <w:rFonts w:ascii="Arial" w:hAnsi="Arial" w:cs="Arial"/>
                <w:sz w:val="18"/>
                <w:szCs w:val="18"/>
              </w:rPr>
            </w:pPr>
            <w:r w:rsidRPr="00BA6152">
              <w:rPr>
                <w:rFonts w:ascii="Arial" w:hAnsi="Arial" w:cs="Arial"/>
                <w:sz w:val="18"/>
                <w:szCs w:val="18"/>
              </w:rPr>
              <w:t>---</w:t>
            </w:r>
          </w:p>
        </w:tc>
        <w:tc>
          <w:tcPr>
            <w:tcW w:w="1260" w:type="dxa"/>
            <w:vAlign w:val="center"/>
          </w:tcPr>
          <w:p w14:paraId="32A7A75C" w14:textId="0C6BBDA7" w:rsidR="00BA6152" w:rsidRPr="00BA6152" w:rsidRDefault="00BA6152" w:rsidP="00107169">
            <w:pPr>
              <w:jc w:val="center"/>
              <w:rPr>
                <w:rFonts w:ascii="Arial" w:hAnsi="Arial" w:cs="Arial"/>
                <w:sz w:val="18"/>
                <w:szCs w:val="18"/>
              </w:rPr>
            </w:pPr>
            <w:r w:rsidRPr="00BA6152">
              <w:rPr>
                <w:rFonts w:ascii="Arial" w:hAnsi="Arial" w:cs="Arial"/>
                <w:sz w:val="18"/>
                <w:szCs w:val="18"/>
              </w:rPr>
              <w:t>-</w:t>
            </w:r>
          </w:p>
        </w:tc>
        <w:tc>
          <w:tcPr>
            <w:tcW w:w="1170" w:type="dxa"/>
            <w:vAlign w:val="center"/>
          </w:tcPr>
          <w:p w14:paraId="4EBE198A" w14:textId="4DB4F9AC" w:rsidR="00BA6152" w:rsidRPr="00BA6152" w:rsidRDefault="00BA6152" w:rsidP="00107169">
            <w:pPr>
              <w:jc w:val="center"/>
              <w:rPr>
                <w:rFonts w:ascii="Arial" w:hAnsi="Arial" w:cs="Arial"/>
                <w:sz w:val="18"/>
                <w:szCs w:val="18"/>
              </w:rPr>
            </w:pPr>
            <w:r w:rsidRPr="00BA6152">
              <w:rPr>
                <w:rFonts w:ascii="Arial" w:hAnsi="Arial" w:cs="Arial"/>
                <w:sz w:val="18"/>
                <w:szCs w:val="18"/>
              </w:rPr>
              <w:t>-</w:t>
            </w:r>
          </w:p>
        </w:tc>
      </w:tr>
      <w:tr w:rsidR="00BA6152" w:rsidRPr="00BA6152" w14:paraId="32A7A765" w14:textId="77777777" w:rsidTr="00107169">
        <w:trPr>
          <w:trHeight w:val="331"/>
        </w:trPr>
        <w:tc>
          <w:tcPr>
            <w:tcW w:w="1800" w:type="dxa"/>
            <w:vAlign w:val="center"/>
          </w:tcPr>
          <w:p w14:paraId="32A7A75F" w14:textId="77777777" w:rsidR="00BA6152" w:rsidRPr="00BA6152" w:rsidRDefault="00BA6152" w:rsidP="00107169">
            <w:pPr>
              <w:rPr>
                <w:rFonts w:ascii="Arial" w:hAnsi="Arial" w:cs="Arial"/>
                <w:sz w:val="18"/>
                <w:szCs w:val="18"/>
              </w:rPr>
            </w:pPr>
            <w:r w:rsidRPr="00BA6152">
              <w:rPr>
                <w:rFonts w:ascii="Arial" w:hAnsi="Arial" w:cs="Arial"/>
                <w:sz w:val="18"/>
                <w:szCs w:val="18"/>
              </w:rPr>
              <w:t>Land Acquisition</w:t>
            </w:r>
          </w:p>
        </w:tc>
        <w:tc>
          <w:tcPr>
            <w:tcW w:w="1170" w:type="dxa"/>
            <w:vAlign w:val="center"/>
          </w:tcPr>
          <w:p w14:paraId="32A7A760" w14:textId="77777777" w:rsidR="00BA6152" w:rsidRPr="00BA6152" w:rsidRDefault="00BA6152" w:rsidP="00107169">
            <w:pPr>
              <w:jc w:val="center"/>
              <w:rPr>
                <w:rFonts w:ascii="Arial" w:hAnsi="Arial" w:cs="Arial"/>
                <w:sz w:val="18"/>
                <w:szCs w:val="18"/>
              </w:rPr>
            </w:pPr>
            <w:r w:rsidRPr="00BA6152">
              <w:rPr>
                <w:rFonts w:ascii="Arial" w:hAnsi="Arial" w:cs="Arial"/>
                <w:sz w:val="18"/>
                <w:szCs w:val="18"/>
              </w:rPr>
              <w:t>1,663</w:t>
            </w:r>
          </w:p>
        </w:tc>
        <w:tc>
          <w:tcPr>
            <w:tcW w:w="1080" w:type="dxa"/>
            <w:vAlign w:val="center"/>
          </w:tcPr>
          <w:p w14:paraId="32A7A761" w14:textId="77777777" w:rsidR="00BA6152" w:rsidRPr="00BA6152" w:rsidRDefault="00BA6152" w:rsidP="00107169">
            <w:pPr>
              <w:jc w:val="center"/>
              <w:rPr>
                <w:rFonts w:ascii="Arial" w:hAnsi="Arial" w:cs="Arial"/>
                <w:sz w:val="18"/>
                <w:szCs w:val="18"/>
              </w:rPr>
            </w:pPr>
            <w:r w:rsidRPr="00BA6152">
              <w:rPr>
                <w:rFonts w:ascii="Arial" w:hAnsi="Arial" w:cs="Arial"/>
                <w:sz w:val="18"/>
                <w:szCs w:val="18"/>
              </w:rPr>
              <w:t>1,663</w:t>
            </w:r>
          </w:p>
        </w:tc>
        <w:tc>
          <w:tcPr>
            <w:tcW w:w="1260" w:type="dxa"/>
            <w:vAlign w:val="center"/>
          </w:tcPr>
          <w:p w14:paraId="32A7A762" w14:textId="77777777" w:rsidR="00BA6152" w:rsidRPr="00BA6152" w:rsidRDefault="00BA6152" w:rsidP="00107169">
            <w:pPr>
              <w:jc w:val="center"/>
              <w:rPr>
                <w:rFonts w:ascii="Arial" w:hAnsi="Arial" w:cs="Arial"/>
                <w:sz w:val="18"/>
                <w:szCs w:val="18"/>
              </w:rPr>
            </w:pPr>
            <w:r w:rsidRPr="00BA6152">
              <w:rPr>
                <w:rFonts w:ascii="Arial" w:hAnsi="Arial" w:cs="Arial"/>
                <w:sz w:val="18"/>
                <w:szCs w:val="18"/>
              </w:rPr>
              <w:t>---</w:t>
            </w:r>
          </w:p>
        </w:tc>
        <w:tc>
          <w:tcPr>
            <w:tcW w:w="1170" w:type="dxa"/>
            <w:vAlign w:val="center"/>
          </w:tcPr>
          <w:p w14:paraId="44BF05A6" w14:textId="741312D4" w:rsidR="00BA6152" w:rsidRPr="00BA6152" w:rsidRDefault="00BA6152" w:rsidP="00107169">
            <w:pPr>
              <w:jc w:val="center"/>
              <w:rPr>
                <w:rFonts w:ascii="Arial" w:hAnsi="Arial" w:cs="Arial"/>
                <w:sz w:val="18"/>
                <w:szCs w:val="18"/>
              </w:rPr>
            </w:pPr>
            <w:r w:rsidRPr="00BA6152">
              <w:rPr>
                <w:rFonts w:ascii="Arial" w:hAnsi="Arial" w:cs="Arial"/>
                <w:sz w:val="18"/>
                <w:szCs w:val="18"/>
              </w:rPr>
              <w:t>---</w:t>
            </w:r>
          </w:p>
        </w:tc>
        <w:tc>
          <w:tcPr>
            <w:tcW w:w="1260" w:type="dxa"/>
            <w:vAlign w:val="center"/>
          </w:tcPr>
          <w:p w14:paraId="32A7A763" w14:textId="1C575A28" w:rsidR="00BA6152" w:rsidRPr="00BA6152" w:rsidRDefault="00BA6152" w:rsidP="00107169">
            <w:pPr>
              <w:jc w:val="center"/>
              <w:rPr>
                <w:rFonts w:ascii="Arial" w:hAnsi="Arial" w:cs="Arial"/>
                <w:sz w:val="18"/>
                <w:szCs w:val="18"/>
              </w:rPr>
            </w:pPr>
            <w:r w:rsidRPr="00BA6152">
              <w:rPr>
                <w:rFonts w:ascii="Arial" w:hAnsi="Arial" w:cs="Arial"/>
                <w:sz w:val="18"/>
                <w:szCs w:val="18"/>
              </w:rPr>
              <w:t>-</w:t>
            </w:r>
          </w:p>
        </w:tc>
        <w:tc>
          <w:tcPr>
            <w:tcW w:w="1170" w:type="dxa"/>
            <w:vAlign w:val="center"/>
          </w:tcPr>
          <w:p w14:paraId="279B0378" w14:textId="32DB1F37" w:rsidR="00BA6152" w:rsidRPr="00BA6152" w:rsidRDefault="00BA6152" w:rsidP="00107169">
            <w:pPr>
              <w:jc w:val="center"/>
              <w:rPr>
                <w:rFonts w:ascii="Arial" w:hAnsi="Arial" w:cs="Arial"/>
                <w:sz w:val="18"/>
                <w:szCs w:val="18"/>
              </w:rPr>
            </w:pPr>
            <w:r w:rsidRPr="00BA6152">
              <w:rPr>
                <w:rFonts w:ascii="Arial" w:hAnsi="Arial" w:cs="Arial"/>
                <w:sz w:val="18"/>
                <w:szCs w:val="18"/>
              </w:rPr>
              <w:t>-</w:t>
            </w:r>
          </w:p>
        </w:tc>
      </w:tr>
      <w:tr w:rsidR="00107169" w:rsidRPr="00BA6152" w14:paraId="32A7A76C" w14:textId="77777777" w:rsidTr="00107169">
        <w:trPr>
          <w:trHeight w:val="896"/>
        </w:trPr>
        <w:tc>
          <w:tcPr>
            <w:tcW w:w="1800" w:type="dxa"/>
            <w:vAlign w:val="center"/>
          </w:tcPr>
          <w:p w14:paraId="0F640F95" w14:textId="77777777" w:rsidR="00107169" w:rsidRPr="00BA6152" w:rsidRDefault="00107169" w:rsidP="00107169">
            <w:pPr>
              <w:rPr>
                <w:rFonts w:ascii="Arial" w:hAnsi="Arial" w:cs="Arial"/>
                <w:sz w:val="18"/>
                <w:szCs w:val="18"/>
              </w:rPr>
            </w:pPr>
            <w:r w:rsidRPr="00BA6152">
              <w:rPr>
                <w:rFonts w:ascii="Arial" w:hAnsi="Arial" w:cs="Arial"/>
                <w:sz w:val="18"/>
                <w:szCs w:val="18"/>
              </w:rPr>
              <w:t>Construction of</w:t>
            </w:r>
          </w:p>
          <w:p w14:paraId="0CB690B6" w14:textId="77777777" w:rsidR="00107169" w:rsidRPr="00BA6152" w:rsidRDefault="00107169" w:rsidP="00107169">
            <w:pPr>
              <w:rPr>
                <w:rFonts w:ascii="Arial" w:hAnsi="Arial" w:cs="Arial"/>
                <w:sz w:val="18"/>
                <w:szCs w:val="18"/>
              </w:rPr>
            </w:pPr>
            <w:r w:rsidRPr="00BA6152">
              <w:rPr>
                <w:rFonts w:ascii="Arial" w:hAnsi="Arial" w:cs="Arial"/>
                <w:sz w:val="18"/>
                <w:szCs w:val="18"/>
              </w:rPr>
              <w:t>buildings and</w:t>
            </w:r>
          </w:p>
          <w:p w14:paraId="32A7A766" w14:textId="52DA57D4" w:rsidR="00107169" w:rsidRPr="00BA6152" w:rsidRDefault="00107169" w:rsidP="00107169">
            <w:pPr>
              <w:rPr>
                <w:rFonts w:ascii="Arial" w:hAnsi="Arial" w:cs="Arial"/>
                <w:sz w:val="18"/>
                <w:szCs w:val="18"/>
              </w:rPr>
            </w:pPr>
            <w:r w:rsidRPr="00BA6152">
              <w:rPr>
                <w:rFonts w:ascii="Arial" w:hAnsi="Arial" w:cs="Arial"/>
                <w:sz w:val="18"/>
                <w:szCs w:val="18"/>
              </w:rPr>
              <w:t>equipment procurement</w:t>
            </w:r>
          </w:p>
        </w:tc>
        <w:tc>
          <w:tcPr>
            <w:tcW w:w="1170" w:type="dxa"/>
            <w:vAlign w:val="center"/>
          </w:tcPr>
          <w:p w14:paraId="32A7A767" w14:textId="3BB7E506" w:rsidR="00107169" w:rsidRPr="00BA6152" w:rsidRDefault="00107169" w:rsidP="00107169">
            <w:pPr>
              <w:jc w:val="center"/>
              <w:rPr>
                <w:rFonts w:ascii="Arial" w:hAnsi="Arial" w:cs="Arial"/>
                <w:sz w:val="18"/>
                <w:szCs w:val="18"/>
              </w:rPr>
            </w:pPr>
            <w:r w:rsidRPr="00BA6152">
              <w:rPr>
                <w:rFonts w:ascii="Arial" w:hAnsi="Arial" w:cs="Arial"/>
                <w:sz w:val="18"/>
                <w:szCs w:val="18"/>
              </w:rPr>
              <w:t>153,672</w:t>
            </w:r>
          </w:p>
        </w:tc>
        <w:tc>
          <w:tcPr>
            <w:tcW w:w="1080" w:type="dxa"/>
            <w:vAlign w:val="center"/>
          </w:tcPr>
          <w:p w14:paraId="32A7A768" w14:textId="24263B8E" w:rsidR="00107169" w:rsidRPr="00BA6152" w:rsidRDefault="00107169" w:rsidP="00107169">
            <w:pPr>
              <w:jc w:val="center"/>
              <w:rPr>
                <w:rFonts w:ascii="Arial" w:hAnsi="Arial" w:cs="Arial"/>
                <w:sz w:val="18"/>
                <w:szCs w:val="18"/>
              </w:rPr>
            </w:pPr>
            <w:r w:rsidRPr="00BA6152">
              <w:rPr>
                <w:rFonts w:ascii="Arial" w:hAnsi="Arial" w:cs="Arial"/>
                <w:sz w:val="18"/>
                <w:szCs w:val="18"/>
              </w:rPr>
              <w:t>83,209</w:t>
            </w:r>
          </w:p>
        </w:tc>
        <w:tc>
          <w:tcPr>
            <w:tcW w:w="1260" w:type="dxa"/>
            <w:vAlign w:val="center"/>
          </w:tcPr>
          <w:p w14:paraId="32A7A769" w14:textId="3D4690FD" w:rsidR="00107169" w:rsidRPr="00BA6152" w:rsidRDefault="00107169" w:rsidP="00107169">
            <w:pPr>
              <w:jc w:val="center"/>
              <w:rPr>
                <w:rFonts w:ascii="Arial" w:hAnsi="Arial" w:cs="Arial"/>
                <w:sz w:val="18"/>
                <w:szCs w:val="18"/>
              </w:rPr>
            </w:pPr>
            <w:r w:rsidRPr="00BA6152">
              <w:rPr>
                <w:rFonts w:ascii="Arial" w:hAnsi="Arial" w:cs="Arial"/>
                <w:sz w:val="18"/>
                <w:szCs w:val="18"/>
              </w:rPr>
              <w:t>16,581</w:t>
            </w:r>
          </w:p>
        </w:tc>
        <w:tc>
          <w:tcPr>
            <w:tcW w:w="1170" w:type="dxa"/>
            <w:vAlign w:val="center"/>
          </w:tcPr>
          <w:p w14:paraId="0F0C02BC" w14:textId="1AF657D9" w:rsidR="00107169" w:rsidRPr="00BA6152" w:rsidRDefault="00107169" w:rsidP="00107169">
            <w:pPr>
              <w:jc w:val="center"/>
              <w:rPr>
                <w:rFonts w:ascii="Arial" w:hAnsi="Arial" w:cs="Arial"/>
                <w:sz w:val="18"/>
                <w:szCs w:val="18"/>
              </w:rPr>
            </w:pPr>
            <w:r w:rsidRPr="00BA6152">
              <w:rPr>
                <w:rFonts w:ascii="Arial" w:hAnsi="Arial" w:cs="Arial"/>
                <w:sz w:val="18"/>
                <w:szCs w:val="18"/>
              </w:rPr>
              <w:t>10,245</w:t>
            </w:r>
          </w:p>
        </w:tc>
        <w:tc>
          <w:tcPr>
            <w:tcW w:w="1260" w:type="dxa"/>
            <w:vAlign w:val="center"/>
          </w:tcPr>
          <w:p w14:paraId="32A7A76A" w14:textId="179B9E43" w:rsidR="00107169" w:rsidRPr="00BA6152" w:rsidRDefault="00107169" w:rsidP="00107169">
            <w:pPr>
              <w:jc w:val="center"/>
              <w:rPr>
                <w:rFonts w:ascii="Arial" w:hAnsi="Arial" w:cs="Arial"/>
                <w:sz w:val="18"/>
                <w:szCs w:val="18"/>
              </w:rPr>
            </w:pPr>
            <w:r w:rsidRPr="00BA6152">
              <w:rPr>
                <w:rFonts w:ascii="Arial" w:hAnsi="Arial" w:cs="Arial"/>
                <w:sz w:val="18"/>
                <w:szCs w:val="18"/>
              </w:rPr>
              <w:t>78.5</w:t>
            </w:r>
          </w:p>
        </w:tc>
        <w:tc>
          <w:tcPr>
            <w:tcW w:w="1170" w:type="dxa"/>
            <w:vAlign w:val="center"/>
          </w:tcPr>
          <w:p w14:paraId="1853EC9C" w14:textId="443FC633" w:rsidR="00107169" w:rsidRPr="00BA6152" w:rsidRDefault="00107169" w:rsidP="00107169">
            <w:pPr>
              <w:jc w:val="center"/>
              <w:rPr>
                <w:rFonts w:ascii="Arial" w:hAnsi="Arial" w:cs="Arial"/>
                <w:sz w:val="18"/>
                <w:szCs w:val="18"/>
              </w:rPr>
            </w:pPr>
            <w:r w:rsidRPr="00BA6152">
              <w:rPr>
                <w:rFonts w:ascii="Arial" w:hAnsi="Arial" w:cs="Arial"/>
                <w:sz w:val="18"/>
                <w:szCs w:val="18"/>
              </w:rPr>
              <w:t>46.0</w:t>
            </w:r>
          </w:p>
        </w:tc>
      </w:tr>
      <w:tr w:rsidR="00BA6152" w:rsidRPr="00BA6152" w14:paraId="32A7A781" w14:textId="77777777" w:rsidTr="00107169">
        <w:trPr>
          <w:trHeight w:val="383"/>
        </w:trPr>
        <w:tc>
          <w:tcPr>
            <w:tcW w:w="1800" w:type="dxa"/>
            <w:vAlign w:val="center"/>
          </w:tcPr>
          <w:p w14:paraId="32A7A77B" w14:textId="77777777" w:rsidR="00BA6152" w:rsidRPr="00BA6152" w:rsidRDefault="00BA6152" w:rsidP="00107169">
            <w:pPr>
              <w:rPr>
                <w:rFonts w:ascii="Arial" w:hAnsi="Arial" w:cs="Arial"/>
                <w:sz w:val="18"/>
                <w:szCs w:val="18"/>
              </w:rPr>
            </w:pPr>
            <w:r w:rsidRPr="00BA6152">
              <w:rPr>
                <w:rFonts w:ascii="Arial" w:hAnsi="Arial" w:cs="Arial"/>
                <w:sz w:val="18"/>
                <w:szCs w:val="18"/>
              </w:rPr>
              <w:t>Total</w:t>
            </w:r>
          </w:p>
        </w:tc>
        <w:tc>
          <w:tcPr>
            <w:tcW w:w="1170" w:type="dxa"/>
            <w:vAlign w:val="center"/>
          </w:tcPr>
          <w:p w14:paraId="32A7A77C" w14:textId="77777777" w:rsidR="00BA6152" w:rsidRPr="00BA6152" w:rsidRDefault="00BA6152" w:rsidP="00107169">
            <w:pPr>
              <w:jc w:val="center"/>
              <w:rPr>
                <w:rFonts w:ascii="Arial" w:hAnsi="Arial" w:cs="Arial"/>
                <w:sz w:val="18"/>
                <w:szCs w:val="18"/>
              </w:rPr>
            </w:pPr>
            <w:r w:rsidRPr="00BA6152">
              <w:rPr>
                <w:rFonts w:ascii="Arial" w:hAnsi="Arial" w:cs="Arial"/>
                <w:sz w:val="18"/>
                <w:szCs w:val="18"/>
              </w:rPr>
              <w:t>161,039</w:t>
            </w:r>
          </w:p>
        </w:tc>
        <w:tc>
          <w:tcPr>
            <w:tcW w:w="1080" w:type="dxa"/>
            <w:vAlign w:val="center"/>
          </w:tcPr>
          <w:p w14:paraId="32A7A77D" w14:textId="77777777" w:rsidR="00BA6152" w:rsidRPr="00BA6152" w:rsidRDefault="00BA6152" w:rsidP="00107169">
            <w:pPr>
              <w:jc w:val="center"/>
              <w:rPr>
                <w:rFonts w:ascii="Arial" w:hAnsi="Arial" w:cs="Arial"/>
                <w:sz w:val="18"/>
                <w:szCs w:val="18"/>
              </w:rPr>
            </w:pPr>
            <w:r w:rsidRPr="00BA6152">
              <w:rPr>
                <w:rFonts w:ascii="Arial" w:hAnsi="Arial" w:cs="Arial"/>
                <w:sz w:val="18"/>
                <w:szCs w:val="18"/>
              </w:rPr>
              <w:t>90,576</w:t>
            </w:r>
          </w:p>
        </w:tc>
        <w:tc>
          <w:tcPr>
            <w:tcW w:w="1260" w:type="dxa"/>
            <w:vAlign w:val="center"/>
          </w:tcPr>
          <w:p w14:paraId="32A7A77E" w14:textId="77777777" w:rsidR="00BA6152" w:rsidRPr="00BA6152" w:rsidRDefault="00BA6152" w:rsidP="00107169">
            <w:pPr>
              <w:jc w:val="center"/>
              <w:rPr>
                <w:rFonts w:ascii="Arial" w:hAnsi="Arial" w:cs="Arial"/>
                <w:sz w:val="18"/>
                <w:szCs w:val="18"/>
              </w:rPr>
            </w:pPr>
            <w:r w:rsidRPr="00BA6152">
              <w:rPr>
                <w:rFonts w:ascii="Arial" w:hAnsi="Arial" w:cs="Arial"/>
                <w:sz w:val="18"/>
                <w:szCs w:val="18"/>
              </w:rPr>
              <w:t>16,581</w:t>
            </w:r>
          </w:p>
        </w:tc>
        <w:tc>
          <w:tcPr>
            <w:tcW w:w="1170" w:type="dxa"/>
            <w:vAlign w:val="center"/>
          </w:tcPr>
          <w:p w14:paraId="73071AA3" w14:textId="421F6871" w:rsidR="00BA6152" w:rsidRPr="00BA6152" w:rsidRDefault="00BA6152" w:rsidP="00107169">
            <w:pPr>
              <w:jc w:val="center"/>
              <w:rPr>
                <w:rFonts w:ascii="Arial" w:hAnsi="Arial" w:cs="Arial"/>
                <w:sz w:val="18"/>
                <w:szCs w:val="18"/>
              </w:rPr>
            </w:pPr>
            <w:r w:rsidRPr="00BA6152">
              <w:rPr>
                <w:rFonts w:ascii="Arial" w:hAnsi="Arial" w:cs="Arial"/>
                <w:sz w:val="18"/>
                <w:szCs w:val="18"/>
              </w:rPr>
              <w:t>10,245</w:t>
            </w:r>
          </w:p>
        </w:tc>
        <w:tc>
          <w:tcPr>
            <w:tcW w:w="1260" w:type="dxa"/>
            <w:vAlign w:val="center"/>
          </w:tcPr>
          <w:p w14:paraId="32A7A77F" w14:textId="5DC2436C" w:rsidR="00BA6152" w:rsidRPr="00BA6152" w:rsidRDefault="00BA6152" w:rsidP="00107169">
            <w:pPr>
              <w:jc w:val="center"/>
              <w:rPr>
                <w:rFonts w:ascii="Arial" w:hAnsi="Arial" w:cs="Arial"/>
                <w:sz w:val="18"/>
                <w:szCs w:val="18"/>
              </w:rPr>
            </w:pPr>
            <w:r w:rsidRPr="00BA6152">
              <w:rPr>
                <w:rFonts w:ascii="Arial" w:hAnsi="Arial" w:cs="Arial"/>
                <w:sz w:val="18"/>
                <w:szCs w:val="18"/>
              </w:rPr>
              <w:t>78.5</w:t>
            </w:r>
          </w:p>
        </w:tc>
        <w:tc>
          <w:tcPr>
            <w:tcW w:w="1170" w:type="dxa"/>
            <w:vAlign w:val="center"/>
          </w:tcPr>
          <w:p w14:paraId="1D1A29EA" w14:textId="022DF1A7" w:rsidR="00BA6152" w:rsidRPr="00BA6152" w:rsidRDefault="00BA6152" w:rsidP="00107169">
            <w:pPr>
              <w:jc w:val="center"/>
              <w:rPr>
                <w:rFonts w:ascii="Arial" w:hAnsi="Arial" w:cs="Arial"/>
                <w:sz w:val="18"/>
                <w:szCs w:val="18"/>
              </w:rPr>
            </w:pPr>
            <w:r w:rsidRPr="00BA6152">
              <w:rPr>
                <w:rFonts w:ascii="Arial" w:hAnsi="Arial" w:cs="Arial"/>
                <w:sz w:val="18"/>
                <w:szCs w:val="18"/>
              </w:rPr>
              <w:t>46.0</w:t>
            </w:r>
          </w:p>
        </w:tc>
      </w:tr>
    </w:tbl>
    <w:p w14:paraId="32A7A782" w14:textId="77777777" w:rsidR="003B7EA2" w:rsidRPr="00350A70" w:rsidRDefault="003B7EA2">
      <w:pPr>
        <w:spacing w:line="61" w:lineRule="exact"/>
        <w:rPr>
          <w:rFonts w:ascii="Arial" w:hAnsi="Arial" w:cs="Arial"/>
          <w:sz w:val="24"/>
        </w:rPr>
      </w:pPr>
    </w:p>
    <w:p w14:paraId="32A7A783" w14:textId="77777777" w:rsidR="003B7EA2" w:rsidRPr="00350A70" w:rsidRDefault="007C0254">
      <w:pPr>
        <w:pStyle w:val="P68B1DB1-Normal5"/>
        <w:numPr>
          <w:ilvl w:val="0"/>
          <w:numId w:val="2"/>
        </w:numPr>
        <w:tabs>
          <w:tab w:val="left" w:pos="440"/>
        </w:tabs>
        <w:ind w:left="440" w:hanging="97"/>
        <w:rPr>
          <w:sz w:val="18"/>
          <w:vertAlign w:val="superscript"/>
        </w:rPr>
      </w:pPr>
      <w:r w:rsidRPr="00350A70">
        <w:t>Includes the acquisition of the land</w:t>
      </w:r>
    </w:p>
    <w:p w14:paraId="32A7A784" w14:textId="77777777" w:rsidR="003B7EA2" w:rsidRPr="00350A70" w:rsidRDefault="003B7EA2">
      <w:pPr>
        <w:spacing w:line="11" w:lineRule="exact"/>
        <w:rPr>
          <w:rFonts w:ascii="Arial" w:hAnsi="Arial" w:cs="Arial"/>
          <w:sz w:val="24"/>
        </w:rPr>
      </w:pPr>
    </w:p>
    <w:p w14:paraId="32A7A7AB" w14:textId="60D82466" w:rsidR="003B7EA2" w:rsidRPr="008713D1" w:rsidRDefault="007C0254" w:rsidP="008713D1">
      <w:pPr>
        <w:pStyle w:val="P68B1DB1-Normal6"/>
        <w:numPr>
          <w:ilvl w:val="0"/>
          <w:numId w:val="3"/>
        </w:numPr>
        <w:tabs>
          <w:tab w:val="left" w:pos="440"/>
        </w:tabs>
        <w:ind w:left="440" w:hanging="97"/>
        <w:rPr>
          <w:sz w:val="17"/>
          <w:vertAlign w:val="superscript"/>
        </w:rPr>
      </w:pPr>
      <w:r w:rsidRPr="00350A70">
        <w:t>2021 Budget Modification, approved with Board Agreement 153-2021-PP of 12.29.202</w:t>
      </w:r>
    </w:p>
    <w:p w14:paraId="75515D18" w14:textId="77777777" w:rsidR="007C0254" w:rsidRDefault="007C0254" w:rsidP="008713D1">
      <w:pPr>
        <w:pStyle w:val="P68B1DB1-Normal1"/>
      </w:pPr>
    </w:p>
    <w:p w14:paraId="32A7A7AC" w14:textId="24A8A868" w:rsidR="003B7EA2" w:rsidRPr="007C0254" w:rsidRDefault="007C0254" w:rsidP="008713D1">
      <w:pPr>
        <w:pStyle w:val="P68B1DB1-Normal1"/>
        <w:rPr>
          <w:sz w:val="20"/>
        </w:rPr>
      </w:pPr>
      <w:r w:rsidRPr="007C0254">
        <w:rPr>
          <w:sz w:val="20"/>
        </w:rPr>
        <w:t>5. Main activities carried out and current situation</w:t>
      </w:r>
    </w:p>
    <w:p w14:paraId="32A7A7AD" w14:textId="77777777" w:rsidR="003B7EA2" w:rsidRPr="007C0254" w:rsidRDefault="003B7EA2">
      <w:pPr>
        <w:spacing w:line="238" w:lineRule="exact"/>
        <w:rPr>
          <w:rFonts w:ascii="Arial" w:hAnsi="Arial" w:cs="Arial"/>
          <w:sz w:val="20"/>
        </w:rPr>
      </w:pPr>
    </w:p>
    <w:p w14:paraId="32A7A7AE" w14:textId="77777777" w:rsidR="003B7EA2" w:rsidRPr="007C0254" w:rsidRDefault="007C0254" w:rsidP="00097EF9">
      <w:pPr>
        <w:pStyle w:val="P68B1DB1-Normal2"/>
        <w:spacing w:line="248" w:lineRule="auto"/>
        <w:ind w:right="360"/>
        <w:jc w:val="both"/>
        <w:rPr>
          <w:b w:val="0"/>
          <w:bCs/>
          <w:sz w:val="20"/>
        </w:rPr>
      </w:pPr>
      <w:r w:rsidRPr="007C0254">
        <w:rPr>
          <w:b w:val="0"/>
          <w:bCs/>
          <w:sz w:val="20"/>
        </w:rPr>
        <w:t xml:space="preserve">'- The global physical progress was 46.0% vs. 78.5% scheduled, </w:t>
      </w:r>
      <w:proofErr w:type="gramStart"/>
      <w:r w:rsidRPr="007C0254">
        <w:rPr>
          <w:b w:val="0"/>
          <w:bCs/>
          <w:sz w:val="20"/>
        </w:rPr>
        <w:t>due to the fact that</w:t>
      </w:r>
      <w:proofErr w:type="gramEnd"/>
      <w:r w:rsidRPr="007C0254">
        <w:rPr>
          <w:b w:val="0"/>
          <w:bCs/>
          <w:sz w:val="20"/>
        </w:rPr>
        <w:t xml:space="preserve"> the activities initially scheduled for 2020 and 2021 were deferred by the Declaration of the State of Emergency due to</w:t>
      </w:r>
      <w:r w:rsidRPr="007C0254">
        <w:rPr>
          <w:b w:val="0"/>
          <w:bCs/>
          <w:sz w:val="20"/>
        </w:rPr>
        <w:t xml:space="preserve"> COVID-19, as well as the longer deadlines for the completion of the new Detailed Engineering.</w:t>
      </w:r>
    </w:p>
    <w:p w14:paraId="32A7A7AF" w14:textId="77777777" w:rsidR="003B7EA2" w:rsidRPr="007C0254" w:rsidRDefault="003B7EA2">
      <w:pPr>
        <w:spacing w:line="220" w:lineRule="exact"/>
        <w:rPr>
          <w:rFonts w:ascii="Arial" w:hAnsi="Arial" w:cs="Arial"/>
          <w:bCs/>
          <w:sz w:val="20"/>
        </w:rPr>
      </w:pPr>
    </w:p>
    <w:p w14:paraId="32A7A7B0" w14:textId="24F66185" w:rsidR="003B7EA2" w:rsidRPr="007C0254" w:rsidRDefault="00097EF9" w:rsidP="00097EF9">
      <w:pPr>
        <w:pStyle w:val="P68B1DB1-Normal2"/>
        <w:tabs>
          <w:tab w:val="left" w:pos="527"/>
        </w:tabs>
        <w:spacing w:line="250" w:lineRule="auto"/>
        <w:ind w:right="360"/>
        <w:jc w:val="both"/>
        <w:rPr>
          <w:b w:val="0"/>
          <w:bCs/>
          <w:sz w:val="20"/>
        </w:rPr>
      </w:pPr>
      <w:r w:rsidRPr="007C0254">
        <w:rPr>
          <w:b w:val="0"/>
          <w:bCs/>
          <w:sz w:val="20"/>
        </w:rPr>
        <w:t xml:space="preserve">- </w:t>
      </w:r>
      <w:r w:rsidR="007C0254" w:rsidRPr="007C0254">
        <w:rPr>
          <w:b w:val="0"/>
          <w:bCs/>
          <w:sz w:val="20"/>
        </w:rPr>
        <w:t>In 2021, the activities have focused on the procurement of equipment and materials that present an advance of 71.8%. On the other hand, Future Contract Notice N</w:t>
      </w:r>
      <w:r w:rsidR="007C0254" w:rsidRPr="007C0254">
        <w:rPr>
          <w:b w:val="0"/>
          <w:bCs/>
          <w:sz w:val="20"/>
        </w:rPr>
        <w:t>o. ACF-2021-190 was published for the new PC service for the continuation of the construction of the terminal on the PETROPERÚ website, after the termination of the contract with Felguera and the update of Detail Engineering.</w:t>
      </w:r>
    </w:p>
    <w:p w14:paraId="32A7A7B1" w14:textId="77777777" w:rsidR="003B7EA2" w:rsidRPr="007C0254" w:rsidRDefault="003B7EA2">
      <w:pPr>
        <w:spacing w:line="217" w:lineRule="exact"/>
        <w:rPr>
          <w:rFonts w:ascii="Arial" w:eastAsia="Arial" w:hAnsi="Arial" w:cs="Arial"/>
          <w:bCs/>
          <w:sz w:val="20"/>
        </w:rPr>
      </w:pPr>
    </w:p>
    <w:p w14:paraId="32A7A7B2" w14:textId="55A7C413" w:rsidR="003B7EA2" w:rsidRPr="007C0254" w:rsidRDefault="00097EF9" w:rsidP="00097EF9">
      <w:pPr>
        <w:pStyle w:val="P68B1DB1-Normal2"/>
        <w:tabs>
          <w:tab w:val="left" w:pos="457"/>
        </w:tabs>
        <w:spacing w:line="248" w:lineRule="auto"/>
        <w:ind w:right="360"/>
        <w:jc w:val="both"/>
        <w:rPr>
          <w:b w:val="0"/>
          <w:bCs/>
          <w:sz w:val="20"/>
        </w:rPr>
      </w:pPr>
      <w:r w:rsidRPr="007C0254">
        <w:rPr>
          <w:b w:val="0"/>
          <w:bCs/>
          <w:sz w:val="20"/>
        </w:rPr>
        <w:t xml:space="preserve">- </w:t>
      </w:r>
      <w:r w:rsidR="007C0254" w:rsidRPr="007C0254">
        <w:rPr>
          <w:b w:val="0"/>
          <w:bCs/>
          <w:sz w:val="20"/>
        </w:rPr>
        <w:t>The term of the reversion (de</w:t>
      </w:r>
      <w:r w:rsidR="007C0254" w:rsidRPr="007C0254">
        <w:rPr>
          <w:b w:val="0"/>
          <w:bCs/>
          <w:sz w:val="20"/>
        </w:rPr>
        <w:t>adline for the resumption of activities) of the land of the New Ilo Terminal was revalidated in favor of PETROPERÚ until 12.31.2023. However, the approval for the expansion of the Building License is presenting delays by the Municipality of Ilo.</w:t>
      </w:r>
    </w:p>
    <w:sectPr w:rsidR="003B7EA2" w:rsidRPr="007C0254" w:rsidSect="002D0EAB">
      <w:type w:val="continuous"/>
      <w:pgSz w:w="12240" w:h="15840"/>
      <w:pgMar w:top="1440" w:right="1440" w:bottom="1440" w:left="144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95CFF"/>
    <w:multiLevelType w:val="hybridMultilevel"/>
    <w:tmpl w:val="95D22968"/>
    <w:lvl w:ilvl="0" w:tplc="01C2C260">
      <w:start w:val="1"/>
      <w:numFmt w:val="bullet"/>
      <w:lvlText w:val="1"/>
      <w:lvlJc w:val="left"/>
    </w:lvl>
    <w:lvl w:ilvl="1" w:tplc="8CAE7A2E">
      <w:numFmt w:val="decimal"/>
      <w:lvlText w:val=""/>
      <w:lvlJc w:val="left"/>
    </w:lvl>
    <w:lvl w:ilvl="2" w:tplc="BEC640C8">
      <w:numFmt w:val="decimal"/>
      <w:lvlText w:val=""/>
      <w:lvlJc w:val="left"/>
    </w:lvl>
    <w:lvl w:ilvl="3" w:tplc="CAC68616">
      <w:numFmt w:val="decimal"/>
      <w:lvlText w:val=""/>
      <w:lvlJc w:val="left"/>
    </w:lvl>
    <w:lvl w:ilvl="4" w:tplc="84CAAC40">
      <w:numFmt w:val="decimal"/>
      <w:lvlText w:val=""/>
      <w:lvlJc w:val="left"/>
    </w:lvl>
    <w:lvl w:ilvl="5" w:tplc="A7C232AE">
      <w:numFmt w:val="decimal"/>
      <w:lvlText w:val=""/>
      <w:lvlJc w:val="left"/>
    </w:lvl>
    <w:lvl w:ilvl="6" w:tplc="9AE48B2E">
      <w:numFmt w:val="decimal"/>
      <w:lvlText w:val=""/>
      <w:lvlJc w:val="left"/>
    </w:lvl>
    <w:lvl w:ilvl="7" w:tplc="0972BB7E">
      <w:numFmt w:val="decimal"/>
      <w:lvlText w:val=""/>
      <w:lvlJc w:val="left"/>
    </w:lvl>
    <w:lvl w:ilvl="8" w:tplc="855E0BE0">
      <w:numFmt w:val="decimal"/>
      <w:lvlText w:val=""/>
      <w:lvlJc w:val="left"/>
    </w:lvl>
  </w:abstractNum>
  <w:abstractNum w:abstractNumId="1" w15:restartNumberingAfterBreak="0">
    <w:nsid w:val="2AE8944A"/>
    <w:multiLevelType w:val="hybridMultilevel"/>
    <w:tmpl w:val="15CEF7E0"/>
    <w:lvl w:ilvl="0" w:tplc="FEFCA256">
      <w:start w:val="1"/>
      <w:numFmt w:val="bullet"/>
      <w:lvlText w:val="2"/>
      <w:lvlJc w:val="left"/>
    </w:lvl>
    <w:lvl w:ilvl="1" w:tplc="4FD65B7A">
      <w:numFmt w:val="decimal"/>
      <w:lvlText w:val=""/>
      <w:lvlJc w:val="left"/>
    </w:lvl>
    <w:lvl w:ilvl="2" w:tplc="AA9C91F0">
      <w:numFmt w:val="decimal"/>
      <w:lvlText w:val=""/>
      <w:lvlJc w:val="left"/>
    </w:lvl>
    <w:lvl w:ilvl="3" w:tplc="1478A186">
      <w:numFmt w:val="decimal"/>
      <w:lvlText w:val=""/>
      <w:lvlJc w:val="left"/>
    </w:lvl>
    <w:lvl w:ilvl="4" w:tplc="F8DA8366">
      <w:numFmt w:val="decimal"/>
      <w:lvlText w:val=""/>
      <w:lvlJc w:val="left"/>
    </w:lvl>
    <w:lvl w:ilvl="5" w:tplc="51F6B7F4">
      <w:numFmt w:val="decimal"/>
      <w:lvlText w:val=""/>
      <w:lvlJc w:val="left"/>
    </w:lvl>
    <w:lvl w:ilvl="6" w:tplc="848675C4">
      <w:numFmt w:val="decimal"/>
      <w:lvlText w:val=""/>
      <w:lvlJc w:val="left"/>
    </w:lvl>
    <w:lvl w:ilvl="7" w:tplc="7B68D3C0">
      <w:numFmt w:val="decimal"/>
      <w:lvlText w:val=""/>
      <w:lvlJc w:val="left"/>
    </w:lvl>
    <w:lvl w:ilvl="8" w:tplc="F0326E70">
      <w:numFmt w:val="decimal"/>
      <w:lvlText w:val=""/>
      <w:lvlJc w:val="left"/>
    </w:lvl>
  </w:abstractNum>
  <w:abstractNum w:abstractNumId="2" w15:restartNumberingAfterBreak="0">
    <w:nsid w:val="625558EC"/>
    <w:multiLevelType w:val="hybridMultilevel"/>
    <w:tmpl w:val="60424FC6"/>
    <w:lvl w:ilvl="0" w:tplc="D9924C4A">
      <w:start w:val="1"/>
      <w:numFmt w:val="bullet"/>
      <w:lvlText w:val="-"/>
      <w:lvlJc w:val="left"/>
    </w:lvl>
    <w:lvl w:ilvl="1" w:tplc="390006FC">
      <w:numFmt w:val="decimal"/>
      <w:lvlText w:val=""/>
      <w:lvlJc w:val="left"/>
    </w:lvl>
    <w:lvl w:ilvl="2" w:tplc="683425B0">
      <w:numFmt w:val="decimal"/>
      <w:lvlText w:val=""/>
      <w:lvlJc w:val="left"/>
    </w:lvl>
    <w:lvl w:ilvl="3" w:tplc="4A6A4A38">
      <w:numFmt w:val="decimal"/>
      <w:lvlText w:val=""/>
      <w:lvlJc w:val="left"/>
    </w:lvl>
    <w:lvl w:ilvl="4" w:tplc="BCC2D986">
      <w:numFmt w:val="decimal"/>
      <w:lvlText w:val=""/>
      <w:lvlJc w:val="left"/>
    </w:lvl>
    <w:lvl w:ilvl="5" w:tplc="8C9809C2">
      <w:numFmt w:val="decimal"/>
      <w:lvlText w:val=""/>
      <w:lvlJc w:val="left"/>
    </w:lvl>
    <w:lvl w:ilvl="6" w:tplc="A9407134">
      <w:numFmt w:val="decimal"/>
      <w:lvlText w:val=""/>
      <w:lvlJc w:val="left"/>
    </w:lvl>
    <w:lvl w:ilvl="7" w:tplc="7570EB72">
      <w:numFmt w:val="decimal"/>
      <w:lvlText w:val=""/>
      <w:lvlJc w:val="left"/>
    </w:lvl>
    <w:lvl w:ilvl="8" w:tplc="2A046082">
      <w:numFmt w:val="decimal"/>
      <w:lvlText w:val=""/>
      <w:lvlJc w:val="left"/>
    </w:lvl>
  </w:abstractNum>
  <w:abstractNum w:abstractNumId="3" w15:restartNumberingAfterBreak="0">
    <w:nsid w:val="74B0DC51"/>
    <w:multiLevelType w:val="hybridMultilevel"/>
    <w:tmpl w:val="C98445FA"/>
    <w:lvl w:ilvl="0" w:tplc="1C14AD9C">
      <w:start w:val="2"/>
      <w:numFmt w:val="decimal"/>
      <w:lvlText w:val="%1."/>
      <w:lvlJc w:val="left"/>
    </w:lvl>
    <w:lvl w:ilvl="1" w:tplc="A5A2E3EE">
      <w:numFmt w:val="decimal"/>
      <w:lvlText w:val=""/>
      <w:lvlJc w:val="left"/>
    </w:lvl>
    <w:lvl w:ilvl="2" w:tplc="B366DFA6">
      <w:numFmt w:val="decimal"/>
      <w:lvlText w:val=""/>
      <w:lvlJc w:val="left"/>
    </w:lvl>
    <w:lvl w:ilvl="3" w:tplc="8E6424DC">
      <w:numFmt w:val="decimal"/>
      <w:lvlText w:val=""/>
      <w:lvlJc w:val="left"/>
    </w:lvl>
    <w:lvl w:ilvl="4" w:tplc="7074AD54">
      <w:numFmt w:val="decimal"/>
      <w:lvlText w:val=""/>
      <w:lvlJc w:val="left"/>
    </w:lvl>
    <w:lvl w:ilvl="5" w:tplc="0F00C316">
      <w:numFmt w:val="decimal"/>
      <w:lvlText w:val=""/>
      <w:lvlJc w:val="left"/>
    </w:lvl>
    <w:lvl w:ilvl="6" w:tplc="C884EE9E">
      <w:numFmt w:val="decimal"/>
      <w:lvlText w:val=""/>
      <w:lvlJc w:val="left"/>
    </w:lvl>
    <w:lvl w:ilvl="7" w:tplc="A32A1172">
      <w:numFmt w:val="decimal"/>
      <w:lvlText w:val=""/>
      <w:lvlJc w:val="left"/>
    </w:lvl>
    <w:lvl w:ilvl="8" w:tplc="7E30773C">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EA2"/>
    <w:rsid w:val="00097EF9"/>
    <w:rsid w:val="000B767D"/>
    <w:rsid w:val="00107169"/>
    <w:rsid w:val="002D0EAB"/>
    <w:rsid w:val="00350A70"/>
    <w:rsid w:val="003B7EA2"/>
    <w:rsid w:val="004E4216"/>
    <w:rsid w:val="007C0254"/>
    <w:rsid w:val="008713D1"/>
    <w:rsid w:val="00BA6152"/>
    <w:rsid w:val="00F1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A71D"/>
  <w15:docId w15:val="{923BEF26-FC51-498D-B7C1-39532789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68B1DB1-Normal1">
    <w:name w:val="P68B1DB1-Normal1"/>
    <w:basedOn w:val="Normal"/>
    <w:rPr>
      <w:rFonts w:ascii="Arial" w:eastAsia="Arial" w:hAnsi="Arial" w:cs="Arial"/>
      <w:b/>
      <w:sz w:val="18"/>
    </w:rPr>
  </w:style>
  <w:style w:type="paragraph" w:customStyle="1" w:styleId="P68B1DB1-Normal2">
    <w:name w:val="P68B1DB1-Normal2"/>
    <w:basedOn w:val="Normal"/>
    <w:rPr>
      <w:rFonts w:ascii="Arial" w:eastAsia="Arial" w:hAnsi="Arial" w:cs="Arial"/>
      <w:b/>
      <w:sz w:val="17"/>
    </w:rPr>
  </w:style>
  <w:style w:type="paragraph" w:customStyle="1" w:styleId="P68B1DB1-Normal3">
    <w:name w:val="P68B1DB1-Normal3"/>
    <w:basedOn w:val="Normal"/>
    <w:rPr>
      <w:sz w:val="24"/>
    </w:rPr>
  </w:style>
  <w:style w:type="paragraph" w:customStyle="1" w:styleId="P68B1DB1-Normal4">
    <w:name w:val="P68B1DB1-Normal4"/>
    <w:basedOn w:val="Normal"/>
    <w:rPr>
      <w:rFonts w:ascii="Arial" w:eastAsia="Arial" w:hAnsi="Arial" w:cs="Arial"/>
      <w:b/>
    </w:rPr>
  </w:style>
  <w:style w:type="paragraph" w:customStyle="1" w:styleId="P68B1DB1-Normal5">
    <w:name w:val="P68B1DB1-Normal5"/>
    <w:basedOn w:val="Normal"/>
    <w:rPr>
      <w:rFonts w:ascii="Arial" w:eastAsia="Arial" w:hAnsi="Arial" w:cs="Arial"/>
      <w:b/>
      <w:sz w:val="14"/>
    </w:rPr>
  </w:style>
  <w:style w:type="paragraph" w:customStyle="1" w:styleId="P68B1DB1-Normal6">
    <w:name w:val="P68B1DB1-Normal6"/>
    <w:basedOn w:val="Normal"/>
    <w:rPr>
      <w:rFonts w:ascii="Arial" w:eastAsia="Arial" w:hAnsi="Arial" w:cs="Arial"/>
      <w:b/>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7805D-CFE8-4965-8CD3-47DC0C29F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Zlatko Perez-Luna</cp:lastModifiedBy>
  <cp:revision>11</cp:revision>
  <dcterms:created xsi:type="dcterms:W3CDTF">2022-01-20T21:29:00Z</dcterms:created>
  <dcterms:modified xsi:type="dcterms:W3CDTF">2022-01-21T07:53:00Z</dcterms:modified>
</cp:coreProperties>
</file>