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C0A1" w14:textId="77777777" w:rsidR="00631FAB" w:rsidRDefault="0067513F">
      <w:pPr>
        <w:pStyle w:val="P68B1DB1-Normal1"/>
        <w:ind w:right="-419"/>
        <w:jc w:val="center"/>
        <w:rPr>
          <w:sz w:val="20"/>
        </w:rPr>
      </w:pPr>
      <w:bookmarkStart w:id="0" w:name="page1"/>
      <w:bookmarkEnd w:id="0"/>
      <w:r>
        <w:t>FORM No. 17</w:t>
      </w:r>
    </w:p>
    <w:p w14:paraId="0B85C0A2" w14:textId="77777777" w:rsidR="00631FAB" w:rsidRDefault="00631FAB">
      <w:pPr>
        <w:spacing w:line="38" w:lineRule="exact"/>
        <w:rPr>
          <w:sz w:val="24"/>
        </w:rPr>
      </w:pPr>
    </w:p>
    <w:p w14:paraId="0B85C0A3" w14:textId="77777777" w:rsidR="00631FAB" w:rsidRDefault="0067513F">
      <w:pPr>
        <w:pStyle w:val="P68B1DB1-Normal1"/>
        <w:ind w:right="-419"/>
        <w:jc w:val="center"/>
        <w:rPr>
          <w:sz w:val="20"/>
        </w:rPr>
      </w:pPr>
      <w:r>
        <w:t>PETROPERÚ S.A. - INVESTMENT PROJECT SHEETS</w:t>
      </w:r>
    </w:p>
    <w:p w14:paraId="0B85C0A4" w14:textId="77777777" w:rsidR="00631FAB" w:rsidRDefault="00631FAB">
      <w:pPr>
        <w:spacing w:line="38" w:lineRule="exact"/>
        <w:rPr>
          <w:sz w:val="24"/>
        </w:rPr>
      </w:pPr>
    </w:p>
    <w:p w14:paraId="0B85C0A5" w14:textId="77777777" w:rsidR="00631FAB" w:rsidRDefault="0067513F">
      <w:pPr>
        <w:pStyle w:val="P68B1DB1-Normal1"/>
        <w:ind w:right="-419"/>
        <w:jc w:val="center"/>
        <w:rPr>
          <w:sz w:val="20"/>
        </w:rPr>
      </w:pPr>
      <w:r>
        <w:t>CONSTRUCTION OF THE NINACACA SUPPLY PLANT</w:t>
      </w:r>
    </w:p>
    <w:p w14:paraId="0B85C0A6" w14:textId="77777777" w:rsidR="00631FAB" w:rsidRDefault="00631FAB">
      <w:pPr>
        <w:spacing w:line="389" w:lineRule="exact"/>
        <w:rPr>
          <w:sz w:val="24"/>
        </w:rPr>
      </w:pPr>
    </w:p>
    <w:p w14:paraId="0B85C0A8" w14:textId="77F03DDA" w:rsidR="00631FAB" w:rsidRPr="00076C2B" w:rsidRDefault="0067513F" w:rsidP="00076C2B">
      <w:pPr>
        <w:pStyle w:val="P68B1DB1-Normal1"/>
        <w:ind w:left="400"/>
        <w:rPr>
          <w:sz w:val="20"/>
        </w:rPr>
      </w:pPr>
      <w:r>
        <w:t>1. Description</w:t>
      </w:r>
    </w:p>
    <w:p w14:paraId="0B85C0AA" w14:textId="0C3A0CDB" w:rsidR="00631FAB" w:rsidRPr="00076C2B" w:rsidRDefault="0067513F" w:rsidP="00076C2B">
      <w:pPr>
        <w:pStyle w:val="P68B1DB1-Normal1"/>
        <w:spacing w:line="255" w:lineRule="auto"/>
        <w:ind w:left="400"/>
        <w:jc w:val="both"/>
        <w:rPr>
          <w:b w:val="0"/>
          <w:bCs/>
          <w:sz w:val="20"/>
        </w:rPr>
      </w:pPr>
      <w:r w:rsidRPr="00076C2B">
        <w:rPr>
          <w:b w:val="0"/>
          <w:bCs/>
        </w:rPr>
        <w:t>It consists of the construction of a Supply Plant in Ninacaca-Pasco, with a storage capacity of 7.5 MB of fuels (Phase 1), for the dispatch of Diesel B5 and Gasolines.</w:t>
      </w:r>
    </w:p>
    <w:p w14:paraId="0B85C0AB" w14:textId="77777777" w:rsidR="00631FAB" w:rsidRPr="00076C2B" w:rsidRDefault="0067513F">
      <w:pPr>
        <w:pStyle w:val="P68B1DB1-Normal2"/>
        <w:spacing w:line="277" w:lineRule="auto"/>
        <w:ind w:left="400"/>
        <w:jc w:val="both"/>
        <w:rPr>
          <w:b w:val="0"/>
          <w:bCs/>
          <w:sz w:val="20"/>
        </w:rPr>
      </w:pPr>
      <w:r w:rsidRPr="00076C2B">
        <w:rPr>
          <w:b w:val="0"/>
          <w:bCs/>
        </w:rPr>
        <w:t xml:space="preserve">The purpose of the sales plant is to avoid the loss of market </w:t>
      </w:r>
      <w:proofErr w:type="gramStart"/>
      <w:r w:rsidRPr="00076C2B">
        <w:rPr>
          <w:b w:val="0"/>
          <w:bCs/>
        </w:rPr>
        <w:t>in the area of</w:t>
      </w:r>
      <w:proofErr w:type="gramEnd"/>
      <w:r w:rsidRPr="00076C2B">
        <w:rPr>
          <w:b w:val="0"/>
          <w:bCs/>
        </w:rPr>
        <w:t xml:space="preserve"> influence, due to the closure of the operations of the old Cerro de Pasco Plant, to increase the presence of the company in the commercialization of fuels throughout Peru, as well as increasing its financial profitability.</w:t>
      </w:r>
    </w:p>
    <w:p w14:paraId="0B85C0AC" w14:textId="77777777" w:rsidR="00631FAB" w:rsidRDefault="00631FAB">
      <w:pPr>
        <w:sectPr w:rsidR="00631FAB" w:rsidSect="00076C2B">
          <w:pgSz w:w="12240" w:h="15840"/>
          <w:pgMar w:top="1107" w:right="1200" w:bottom="1440" w:left="1440" w:header="0" w:footer="0" w:gutter="0"/>
          <w:cols w:space="720"/>
        </w:sectPr>
      </w:pPr>
    </w:p>
    <w:p w14:paraId="0B85C0AD" w14:textId="77777777" w:rsidR="00631FAB" w:rsidRDefault="00631FAB">
      <w:pPr>
        <w:spacing w:line="226" w:lineRule="exact"/>
        <w:rPr>
          <w:sz w:val="24"/>
        </w:rPr>
      </w:pPr>
    </w:p>
    <w:p w14:paraId="0B85C0AF" w14:textId="2CE125D5" w:rsidR="00631FAB" w:rsidRPr="00076C2B" w:rsidRDefault="0067513F" w:rsidP="00076C2B">
      <w:pPr>
        <w:pStyle w:val="P68B1DB1-Normal1"/>
        <w:numPr>
          <w:ilvl w:val="0"/>
          <w:numId w:val="1"/>
        </w:numPr>
        <w:tabs>
          <w:tab w:val="left" w:pos="620"/>
        </w:tabs>
        <w:ind w:left="620" w:hanging="217"/>
      </w:pPr>
      <w:r>
        <w:t>Investment Components</w:t>
      </w:r>
    </w:p>
    <w:p w14:paraId="0B85C0B0" w14:textId="77777777" w:rsidR="00631FAB" w:rsidRPr="00076C2B" w:rsidRDefault="0067513F">
      <w:pPr>
        <w:pStyle w:val="P68B1DB1-Normal1"/>
        <w:ind w:left="400"/>
        <w:rPr>
          <w:b w:val="0"/>
          <w:bCs/>
        </w:rPr>
      </w:pPr>
      <w:r w:rsidRPr="00076C2B">
        <w:rPr>
          <w:b w:val="0"/>
          <w:bCs/>
        </w:rPr>
        <w:t>• Land.</w:t>
      </w:r>
    </w:p>
    <w:p w14:paraId="0B85C0B1" w14:textId="77777777" w:rsidR="00631FAB" w:rsidRPr="00076C2B" w:rsidRDefault="00631FAB">
      <w:pPr>
        <w:spacing w:line="16" w:lineRule="exact"/>
        <w:rPr>
          <w:rFonts w:ascii="Arial" w:eastAsia="Arial" w:hAnsi="Arial" w:cs="Arial"/>
          <w:bCs/>
          <w:sz w:val="19"/>
        </w:rPr>
      </w:pPr>
    </w:p>
    <w:p w14:paraId="0B85C0B2" w14:textId="77777777" w:rsidR="00631FAB" w:rsidRPr="00076C2B" w:rsidRDefault="0067513F">
      <w:pPr>
        <w:pStyle w:val="P68B1DB1-Normal1"/>
        <w:ind w:left="400"/>
        <w:rPr>
          <w:b w:val="0"/>
          <w:bCs/>
        </w:rPr>
      </w:pPr>
      <w:r w:rsidRPr="00076C2B">
        <w:rPr>
          <w:b w:val="0"/>
          <w:bCs/>
        </w:rPr>
        <w:t>• Buildings.</w:t>
      </w:r>
    </w:p>
    <w:p w14:paraId="0B85C0B3" w14:textId="77777777" w:rsidR="00631FAB" w:rsidRPr="00076C2B" w:rsidRDefault="00631FAB">
      <w:pPr>
        <w:spacing w:line="16" w:lineRule="exact"/>
        <w:rPr>
          <w:rFonts w:ascii="Arial" w:eastAsia="Arial" w:hAnsi="Arial" w:cs="Arial"/>
          <w:bCs/>
          <w:sz w:val="19"/>
        </w:rPr>
      </w:pPr>
    </w:p>
    <w:p w14:paraId="0B85C0B4" w14:textId="77777777" w:rsidR="00631FAB" w:rsidRPr="00076C2B" w:rsidRDefault="0067513F">
      <w:pPr>
        <w:pStyle w:val="P68B1DB1-Normal1"/>
        <w:ind w:left="400"/>
        <w:rPr>
          <w:b w:val="0"/>
          <w:bCs/>
        </w:rPr>
      </w:pPr>
      <w:r w:rsidRPr="00076C2B">
        <w:rPr>
          <w:b w:val="0"/>
          <w:bCs/>
        </w:rPr>
        <w:t>• Four liquid fuel storage tanks.</w:t>
      </w:r>
    </w:p>
    <w:p w14:paraId="0B85C0B5" w14:textId="77777777" w:rsidR="00631FAB" w:rsidRPr="00076C2B" w:rsidRDefault="00631FAB">
      <w:pPr>
        <w:spacing w:line="16" w:lineRule="exact"/>
        <w:rPr>
          <w:rFonts w:ascii="Arial" w:eastAsia="Arial" w:hAnsi="Arial" w:cs="Arial"/>
          <w:bCs/>
          <w:sz w:val="19"/>
        </w:rPr>
      </w:pPr>
    </w:p>
    <w:p w14:paraId="0B85C0B6" w14:textId="77777777" w:rsidR="00631FAB" w:rsidRPr="00076C2B" w:rsidRDefault="0067513F">
      <w:pPr>
        <w:pStyle w:val="P68B1DB1-Normal1"/>
        <w:ind w:left="400"/>
        <w:rPr>
          <w:b w:val="0"/>
          <w:bCs/>
        </w:rPr>
      </w:pPr>
      <w:r w:rsidRPr="00076C2B">
        <w:rPr>
          <w:b w:val="0"/>
          <w:bCs/>
        </w:rPr>
        <w:t>• Reception and dispatch system.</w:t>
      </w:r>
    </w:p>
    <w:p w14:paraId="0B85C0B7" w14:textId="77777777" w:rsidR="00631FAB" w:rsidRPr="00076C2B" w:rsidRDefault="00631FAB">
      <w:pPr>
        <w:spacing w:line="16" w:lineRule="exact"/>
        <w:rPr>
          <w:rFonts w:ascii="Arial" w:eastAsia="Arial" w:hAnsi="Arial" w:cs="Arial"/>
          <w:bCs/>
          <w:sz w:val="19"/>
        </w:rPr>
      </w:pPr>
    </w:p>
    <w:p w14:paraId="0B85C0B8" w14:textId="77777777" w:rsidR="00631FAB" w:rsidRPr="00076C2B" w:rsidRDefault="0067513F">
      <w:pPr>
        <w:pStyle w:val="P68B1DB1-Normal1"/>
        <w:ind w:left="400"/>
        <w:rPr>
          <w:b w:val="0"/>
          <w:bCs/>
        </w:rPr>
      </w:pPr>
      <w:r w:rsidRPr="00076C2B">
        <w:rPr>
          <w:b w:val="0"/>
          <w:bCs/>
        </w:rPr>
        <w:t>• Pipeline network with product pumping system.</w:t>
      </w:r>
    </w:p>
    <w:p w14:paraId="0B85C0B9" w14:textId="77777777" w:rsidR="00631FAB" w:rsidRPr="00076C2B" w:rsidRDefault="00631FAB">
      <w:pPr>
        <w:spacing w:line="16" w:lineRule="exact"/>
        <w:rPr>
          <w:rFonts w:ascii="Arial" w:eastAsia="Arial" w:hAnsi="Arial" w:cs="Arial"/>
          <w:bCs/>
          <w:sz w:val="19"/>
        </w:rPr>
      </w:pPr>
    </w:p>
    <w:p w14:paraId="0B85C0BA" w14:textId="77777777" w:rsidR="00631FAB" w:rsidRPr="00076C2B" w:rsidRDefault="0067513F">
      <w:pPr>
        <w:pStyle w:val="P68B1DB1-Normal1"/>
        <w:ind w:left="400"/>
        <w:rPr>
          <w:b w:val="0"/>
          <w:bCs/>
        </w:rPr>
      </w:pPr>
      <w:r w:rsidRPr="00076C2B">
        <w:rPr>
          <w:b w:val="0"/>
          <w:bCs/>
        </w:rPr>
        <w:t>• Fire prevention system.</w:t>
      </w:r>
    </w:p>
    <w:p w14:paraId="0B85C0BB" w14:textId="77777777" w:rsidR="00631FAB" w:rsidRPr="00076C2B" w:rsidRDefault="00631FAB">
      <w:pPr>
        <w:spacing w:line="16" w:lineRule="exact"/>
        <w:rPr>
          <w:rFonts w:ascii="Arial" w:eastAsia="Arial" w:hAnsi="Arial" w:cs="Arial"/>
          <w:bCs/>
          <w:sz w:val="19"/>
        </w:rPr>
      </w:pPr>
    </w:p>
    <w:p w14:paraId="0B85C0BC" w14:textId="77777777" w:rsidR="00631FAB" w:rsidRPr="00076C2B" w:rsidRDefault="0067513F">
      <w:pPr>
        <w:pStyle w:val="P68B1DB1-Normal1"/>
        <w:ind w:left="400"/>
        <w:rPr>
          <w:b w:val="0"/>
          <w:bCs/>
        </w:rPr>
      </w:pPr>
      <w:r w:rsidRPr="00076C2B">
        <w:rPr>
          <w:b w:val="0"/>
          <w:bCs/>
        </w:rPr>
        <w:t>• Electrical installations and other facilities.</w:t>
      </w:r>
    </w:p>
    <w:p w14:paraId="0B85C0BD" w14:textId="77777777" w:rsidR="00631FAB" w:rsidRDefault="00631FAB">
      <w:pPr>
        <w:spacing w:line="259" w:lineRule="exact"/>
        <w:rPr>
          <w:rFonts w:ascii="Arial" w:eastAsia="Arial" w:hAnsi="Arial" w:cs="Arial"/>
          <w:b/>
          <w:sz w:val="19"/>
        </w:rPr>
      </w:pPr>
    </w:p>
    <w:p w14:paraId="0B85C0BE" w14:textId="77777777" w:rsidR="00631FAB" w:rsidRDefault="0067513F">
      <w:pPr>
        <w:pStyle w:val="P68B1DB1-Normal1"/>
        <w:numPr>
          <w:ilvl w:val="0"/>
          <w:numId w:val="1"/>
        </w:numPr>
        <w:tabs>
          <w:tab w:val="left" w:pos="620"/>
        </w:tabs>
        <w:ind w:left="620" w:hanging="217"/>
      </w:pPr>
      <w:r>
        <w:t>Funding Source</w:t>
      </w:r>
    </w:p>
    <w:p w14:paraId="0B85C0BF" w14:textId="77777777" w:rsidR="00631FAB" w:rsidRDefault="00631FAB">
      <w:pPr>
        <w:spacing w:line="31" w:lineRule="exact"/>
        <w:rPr>
          <w:sz w:val="24"/>
        </w:rPr>
      </w:pPr>
    </w:p>
    <w:p w14:paraId="0B85C0C0" w14:textId="77777777" w:rsidR="00631FAB" w:rsidRPr="00076C2B" w:rsidRDefault="0067513F">
      <w:pPr>
        <w:pStyle w:val="P68B1DB1-Normal1"/>
        <w:ind w:left="400"/>
        <w:rPr>
          <w:b w:val="0"/>
          <w:bCs/>
          <w:sz w:val="20"/>
        </w:rPr>
      </w:pPr>
      <w:r w:rsidRPr="00076C2B">
        <w:rPr>
          <w:b w:val="0"/>
          <w:bCs/>
        </w:rPr>
        <w:t>PETROPERU S.A. proprietary resources.</w:t>
      </w:r>
    </w:p>
    <w:p w14:paraId="0B85C0C1" w14:textId="77777777" w:rsidR="00631FAB" w:rsidRDefault="00631FAB">
      <w:pPr>
        <w:spacing w:line="197" w:lineRule="exact"/>
        <w:rPr>
          <w:sz w:val="24"/>
        </w:rPr>
      </w:pPr>
    </w:p>
    <w:p w14:paraId="0B85C0C2" w14:textId="77777777" w:rsidR="00631FAB" w:rsidRDefault="0067513F">
      <w:pPr>
        <w:pStyle w:val="P68B1DB1-Normal1"/>
        <w:ind w:left="400"/>
        <w:rPr>
          <w:sz w:val="20"/>
        </w:rPr>
      </w:pPr>
      <w:r>
        <w:t>4. Physical and financial progress to Q IV</w:t>
      </w:r>
    </w:p>
    <w:p w14:paraId="0B85C0C3" w14:textId="69E5B701" w:rsidR="00631FAB" w:rsidRDefault="00631FAB">
      <w:pPr>
        <w:pStyle w:val="P68B1DB1-Normal3"/>
        <w:spacing w:line="20" w:lineRule="exact"/>
      </w:pPr>
    </w:p>
    <w:p w14:paraId="0B85C0C4" w14:textId="77777777" w:rsidR="00631FAB" w:rsidRDefault="00631FAB">
      <w:pPr>
        <w:spacing w:line="160" w:lineRule="exact"/>
        <w:rPr>
          <w:sz w:val="24"/>
        </w:rPr>
      </w:pPr>
    </w:p>
    <w:tbl>
      <w:tblPr>
        <w:tblW w:w="10275"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1180"/>
        <w:gridCol w:w="1200"/>
        <w:gridCol w:w="1380"/>
        <w:gridCol w:w="1465"/>
        <w:gridCol w:w="1465"/>
        <w:gridCol w:w="1465"/>
      </w:tblGrid>
      <w:tr w:rsidR="00E5083D" w:rsidRPr="00E5083D" w14:paraId="0B85C0CA" w14:textId="03F01C00" w:rsidTr="00A63DEF">
        <w:trPr>
          <w:trHeight w:val="218"/>
        </w:trPr>
        <w:tc>
          <w:tcPr>
            <w:tcW w:w="2120" w:type="dxa"/>
            <w:vMerge w:val="restart"/>
            <w:vAlign w:val="center"/>
          </w:tcPr>
          <w:p w14:paraId="0B85C0C5" w14:textId="4B61F3A8" w:rsidR="00E5083D" w:rsidRPr="00E5083D" w:rsidRDefault="00E5083D" w:rsidP="00E5083D">
            <w:pPr>
              <w:pStyle w:val="P68B1DB1-Normal1"/>
              <w:jc w:val="center"/>
              <w:rPr>
                <w:sz w:val="16"/>
                <w:szCs w:val="16"/>
              </w:rPr>
            </w:pPr>
            <w:r w:rsidRPr="00E5083D">
              <w:rPr>
                <w:sz w:val="16"/>
                <w:szCs w:val="16"/>
              </w:rPr>
              <w:t>Components</w:t>
            </w:r>
          </w:p>
        </w:tc>
        <w:tc>
          <w:tcPr>
            <w:tcW w:w="5225" w:type="dxa"/>
            <w:gridSpan w:val="4"/>
            <w:vAlign w:val="center"/>
          </w:tcPr>
          <w:p w14:paraId="0B85C0C8" w14:textId="2F6B5093" w:rsidR="00E5083D" w:rsidRPr="00E5083D" w:rsidRDefault="00E5083D" w:rsidP="00E5083D">
            <w:pPr>
              <w:jc w:val="center"/>
              <w:rPr>
                <w:rFonts w:ascii="Arial" w:hAnsi="Arial" w:cs="Arial"/>
                <w:b/>
                <w:sz w:val="16"/>
                <w:szCs w:val="16"/>
              </w:rPr>
            </w:pPr>
            <w:r w:rsidRPr="00E5083D">
              <w:rPr>
                <w:rFonts w:ascii="Arial" w:hAnsi="Arial" w:cs="Arial"/>
                <w:b/>
                <w:sz w:val="16"/>
                <w:szCs w:val="16"/>
              </w:rPr>
              <w:t>Financial Progress (MS/)</w:t>
            </w:r>
          </w:p>
        </w:tc>
        <w:tc>
          <w:tcPr>
            <w:tcW w:w="2930" w:type="dxa"/>
            <w:gridSpan w:val="2"/>
            <w:vAlign w:val="center"/>
          </w:tcPr>
          <w:p w14:paraId="2D6ECD58" w14:textId="7AA2977D" w:rsidR="00E5083D" w:rsidRPr="00E5083D" w:rsidRDefault="00E5083D" w:rsidP="00E5083D">
            <w:pPr>
              <w:jc w:val="center"/>
              <w:rPr>
                <w:rFonts w:ascii="Arial" w:hAnsi="Arial" w:cs="Arial"/>
                <w:b/>
                <w:sz w:val="16"/>
                <w:szCs w:val="16"/>
              </w:rPr>
            </w:pPr>
            <w:r w:rsidRPr="00E5083D">
              <w:rPr>
                <w:rFonts w:ascii="Arial" w:hAnsi="Arial" w:cs="Arial"/>
                <w:b/>
                <w:sz w:val="16"/>
                <w:szCs w:val="16"/>
              </w:rPr>
              <w:t>Physical Progress (%)</w:t>
            </w:r>
          </w:p>
        </w:tc>
      </w:tr>
      <w:tr w:rsidR="00E5083D" w:rsidRPr="00E5083D" w14:paraId="0B85C0D1" w14:textId="235917EA" w:rsidTr="00E5083D">
        <w:trPr>
          <w:trHeight w:val="955"/>
        </w:trPr>
        <w:tc>
          <w:tcPr>
            <w:tcW w:w="2120" w:type="dxa"/>
            <w:vMerge/>
            <w:tcBorders>
              <w:bottom w:val="single" w:sz="4" w:space="0" w:color="auto"/>
            </w:tcBorders>
            <w:vAlign w:val="center"/>
          </w:tcPr>
          <w:p w14:paraId="0B85C0CB" w14:textId="4DD2E57F" w:rsidR="00E5083D" w:rsidRPr="00E5083D" w:rsidRDefault="00E5083D" w:rsidP="00E5083D">
            <w:pPr>
              <w:pStyle w:val="P68B1DB1-Normal1"/>
              <w:ind w:left="460"/>
              <w:jc w:val="center"/>
              <w:rPr>
                <w:sz w:val="16"/>
                <w:szCs w:val="16"/>
              </w:rPr>
            </w:pPr>
          </w:p>
        </w:tc>
        <w:tc>
          <w:tcPr>
            <w:tcW w:w="1180" w:type="dxa"/>
            <w:vAlign w:val="center"/>
          </w:tcPr>
          <w:p w14:paraId="0B85C0CC" w14:textId="4896B155" w:rsidR="00E5083D" w:rsidRPr="00E5083D" w:rsidRDefault="00E5083D" w:rsidP="00E5083D">
            <w:pPr>
              <w:pStyle w:val="P68B1DB1-Normal1"/>
              <w:ind w:left="103"/>
              <w:jc w:val="center"/>
              <w:rPr>
                <w:sz w:val="16"/>
                <w:szCs w:val="16"/>
              </w:rPr>
            </w:pPr>
            <w:r w:rsidRPr="00E5083D">
              <w:rPr>
                <w:sz w:val="16"/>
                <w:szCs w:val="16"/>
              </w:rPr>
              <w:t>Total</w:t>
            </w:r>
            <w:r w:rsidRPr="00E5083D">
              <w:rPr>
                <w:sz w:val="16"/>
                <w:szCs w:val="16"/>
              </w:rPr>
              <w:t xml:space="preserve"> Investment</w:t>
            </w:r>
            <w:r w:rsidRPr="00E5083D">
              <w:rPr>
                <w:sz w:val="16"/>
                <w:szCs w:val="16"/>
                <w:vertAlign w:val="superscript"/>
              </w:rPr>
              <w:t>1</w:t>
            </w:r>
          </w:p>
        </w:tc>
        <w:tc>
          <w:tcPr>
            <w:tcW w:w="1200" w:type="dxa"/>
            <w:vAlign w:val="center"/>
          </w:tcPr>
          <w:p w14:paraId="0B85C0CD" w14:textId="323DE54D" w:rsidR="00E5083D" w:rsidRPr="00E5083D" w:rsidRDefault="00E5083D" w:rsidP="00E5083D">
            <w:pPr>
              <w:pStyle w:val="P68B1DB1-Normal1"/>
              <w:jc w:val="center"/>
              <w:rPr>
                <w:sz w:val="16"/>
                <w:szCs w:val="16"/>
              </w:rPr>
            </w:pPr>
            <w:r w:rsidRPr="00E5083D">
              <w:rPr>
                <w:sz w:val="16"/>
                <w:szCs w:val="16"/>
              </w:rPr>
              <w:t xml:space="preserve">Cumulative </w:t>
            </w:r>
            <w:r w:rsidRPr="00E5083D">
              <w:rPr>
                <w:sz w:val="16"/>
                <w:szCs w:val="16"/>
              </w:rPr>
              <w:t>Execution</w:t>
            </w:r>
          </w:p>
        </w:tc>
        <w:tc>
          <w:tcPr>
            <w:tcW w:w="1380" w:type="dxa"/>
            <w:vAlign w:val="center"/>
          </w:tcPr>
          <w:p w14:paraId="60B2C10D" w14:textId="77777777" w:rsidR="00E5083D" w:rsidRPr="00E5083D" w:rsidRDefault="00E5083D" w:rsidP="00E5083D">
            <w:pPr>
              <w:pStyle w:val="P68B1DB1-Normal1"/>
              <w:jc w:val="center"/>
              <w:rPr>
                <w:sz w:val="16"/>
                <w:szCs w:val="16"/>
              </w:rPr>
            </w:pPr>
            <w:r w:rsidRPr="00E5083D">
              <w:rPr>
                <w:sz w:val="16"/>
                <w:szCs w:val="16"/>
              </w:rPr>
              <w:t>Budget</w:t>
            </w:r>
          </w:p>
          <w:p w14:paraId="0B85C0CE" w14:textId="44A4F0E8" w:rsidR="00E5083D" w:rsidRPr="00E5083D" w:rsidRDefault="00E5083D" w:rsidP="00E5083D">
            <w:pPr>
              <w:pStyle w:val="P68B1DB1-Normal4"/>
              <w:jc w:val="center"/>
              <w:rPr>
                <w:sz w:val="16"/>
                <w:szCs w:val="16"/>
              </w:rPr>
            </w:pPr>
            <w:r w:rsidRPr="00E5083D">
              <w:rPr>
                <w:sz w:val="16"/>
                <w:szCs w:val="16"/>
              </w:rPr>
              <w:t>Year 2021</w:t>
            </w:r>
            <w:r w:rsidRPr="00E5083D">
              <w:rPr>
                <w:sz w:val="16"/>
                <w:szCs w:val="16"/>
                <w:vertAlign w:val="superscript"/>
              </w:rPr>
              <w:t>2</w:t>
            </w:r>
          </w:p>
        </w:tc>
        <w:tc>
          <w:tcPr>
            <w:tcW w:w="1465" w:type="dxa"/>
            <w:vAlign w:val="center"/>
          </w:tcPr>
          <w:p w14:paraId="4D208517" w14:textId="77777777" w:rsidR="00E5083D" w:rsidRPr="00E5083D" w:rsidRDefault="00E5083D" w:rsidP="00E5083D">
            <w:pPr>
              <w:pStyle w:val="P68B1DB1-Normal1"/>
              <w:ind w:left="120"/>
              <w:jc w:val="center"/>
              <w:rPr>
                <w:sz w:val="16"/>
                <w:szCs w:val="16"/>
              </w:rPr>
            </w:pPr>
            <w:r w:rsidRPr="00E5083D">
              <w:rPr>
                <w:sz w:val="16"/>
                <w:szCs w:val="16"/>
              </w:rPr>
              <w:t>Execution</w:t>
            </w:r>
          </w:p>
          <w:p w14:paraId="0B85C0CF" w14:textId="739EA18A" w:rsidR="00E5083D" w:rsidRPr="00E5083D" w:rsidRDefault="00E5083D" w:rsidP="00E5083D">
            <w:pPr>
              <w:pStyle w:val="P68B1DB1-Normal1"/>
              <w:jc w:val="center"/>
              <w:rPr>
                <w:sz w:val="16"/>
                <w:szCs w:val="16"/>
              </w:rPr>
            </w:pPr>
            <w:r w:rsidRPr="00E5083D">
              <w:rPr>
                <w:sz w:val="16"/>
                <w:szCs w:val="16"/>
              </w:rPr>
              <w:t>Year 2021</w:t>
            </w:r>
          </w:p>
        </w:tc>
        <w:tc>
          <w:tcPr>
            <w:tcW w:w="1465" w:type="dxa"/>
            <w:vAlign w:val="center"/>
          </w:tcPr>
          <w:p w14:paraId="3EEE9E82" w14:textId="7E0D7A58" w:rsidR="00E5083D" w:rsidRPr="00E5083D" w:rsidRDefault="00E5083D" w:rsidP="00E5083D">
            <w:pPr>
              <w:pStyle w:val="P68B1DB1-Normal1"/>
              <w:ind w:left="120"/>
              <w:jc w:val="center"/>
              <w:rPr>
                <w:sz w:val="16"/>
                <w:szCs w:val="16"/>
              </w:rPr>
            </w:pPr>
            <w:r w:rsidRPr="00E5083D">
              <w:rPr>
                <w:sz w:val="16"/>
                <w:szCs w:val="16"/>
              </w:rPr>
              <w:t>Scheduled</w:t>
            </w:r>
            <w:r w:rsidRPr="00E5083D">
              <w:rPr>
                <w:sz w:val="16"/>
                <w:szCs w:val="16"/>
              </w:rPr>
              <w:t xml:space="preserve"> </w:t>
            </w:r>
            <w:r w:rsidRPr="00E5083D">
              <w:rPr>
                <w:sz w:val="16"/>
                <w:szCs w:val="16"/>
              </w:rPr>
              <w:t>to Q IV</w:t>
            </w:r>
          </w:p>
        </w:tc>
        <w:tc>
          <w:tcPr>
            <w:tcW w:w="1465" w:type="dxa"/>
            <w:vAlign w:val="center"/>
          </w:tcPr>
          <w:p w14:paraId="2BF74001" w14:textId="0E348CFB" w:rsidR="00E5083D" w:rsidRPr="00E5083D" w:rsidRDefault="00E5083D" w:rsidP="00E5083D">
            <w:pPr>
              <w:pStyle w:val="P68B1DB1-Normal1"/>
              <w:ind w:left="120"/>
              <w:jc w:val="center"/>
              <w:rPr>
                <w:sz w:val="16"/>
                <w:szCs w:val="16"/>
              </w:rPr>
            </w:pPr>
            <w:r w:rsidRPr="00E5083D">
              <w:rPr>
                <w:sz w:val="16"/>
                <w:szCs w:val="16"/>
              </w:rPr>
              <w:t>Real</w:t>
            </w:r>
            <w:r w:rsidRPr="00E5083D">
              <w:rPr>
                <w:sz w:val="16"/>
                <w:szCs w:val="16"/>
              </w:rPr>
              <w:t xml:space="preserve"> </w:t>
            </w:r>
            <w:r w:rsidRPr="00E5083D">
              <w:rPr>
                <w:sz w:val="16"/>
                <w:szCs w:val="16"/>
              </w:rPr>
              <w:t>to Q IV</w:t>
            </w:r>
          </w:p>
        </w:tc>
      </w:tr>
      <w:tr w:rsidR="00E5083D" w:rsidRPr="00E5083D" w14:paraId="0B85C0E6" w14:textId="1D2DB106" w:rsidTr="00E5083D">
        <w:trPr>
          <w:trHeight w:val="662"/>
        </w:trPr>
        <w:tc>
          <w:tcPr>
            <w:tcW w:w="2120" w:type="dxa"/>
            <w:tcBorders>
              <w:bottom w:val="single" w:sz="4" w:space="0" w:color="auto"/>
            </w:tcBorders>
            <w:vAlign w:val="center"/>
          </w:tcPr>
          <w:p w14:paraId="0B85C0E0" w14:textId="2DEBB4EE" w:rsidR="00E5083D" w:rsidRPr="00E5083D" w:rsidRDefault="00E5083D" w:rsidP="00E5083D">
            <w:pPr>
              <w:pStyle w:val="P68B1DB1-Normal1"/>
              <w:rPr>
                <w:b w:val="0"/>
                <w:bCs/>
                <w:sz w:val="16"/>
                <w:szCs w:val="16"/>
              </w:rPr>
            </w:pPr>
            <w:r w:rsidRPr="00E5083D">
              <w:rPr>
                <w:b w:val="0"/>
                <w:bCs/>
                <w:sz w:val="16"/>
                <w:szCs w:val="16"/>
              </w:rPr>
              <w:t xml:space="preserve">Engineering and </w:t>
            </w:r>
            <w:r w:rsidRPr="00E5083D">
              <w:rPr>
                <w:b w:val="0"/>
                <w:bCs/>
                <w:sz w:val="16"/>
                <w:szCs w:val="16"/>
              </w:rPr>
              <w:t>previous</w:t>
            </w:r>
            <w:r w:rsidRPr="00E5083D">
              <w:rPr>
                <w:b w:val="0"/>
                <w:bCs/>
                <w:sz w:val="16"/>
                <w:szCs w:val="16"/>
              </w:rPr>
              <w:t xml:space="preserve"> procedures</w:t>
            </w:r>
          </w:p>
        </w:tc>
        <w:tc>
          <w:tcPr>
            <w:tcW w:w="1180" w:type="dxa"/>
            <w:vAlign w:val="center"/>
          </w:tcPr>
          <w:p w14:paraId="0B85C0E1" w14:textId="77777777" w:rsidR="00E5083D" w:rsidRPr="00E5083D" w:rsidRDefault="00E5083D" w:rsidP="00E5083D">
            <w:pPr>
              <w:pStyle w:val="P68B1DB1-Normal1"/>
              <w:ind w:left="123"/>
              <w:jc w:val="center"/>
              <w:rPr>
                <w:b w:val="0"/>
                <w:bCs/>
                <w:sz w:val="16"/>
                <w:szCs w:val="16"/>
              </w:rPr>
            </w:pPr>
            <w:r w:rsidRPr="00E5083D">
              <w:rPr>
                <w:b w:val="0"/>
                <w:bCs/>
                <w:sz w:val="16"/>
                <w:szCs w:val="16"/>
              </w:rPr>
              <w:t>1,840</w:t>
            </w:r>
          </w:p>
        </w:tc>
        <w:tc>
          <w:tcPr>
            <w:tcW w:w="1200" w:type="dxa"/>
            <w:vAlign w:val="center"/>
          </w:tcPr>
          <w:p w14:paraId="0B85C0E2" w14:textId="77777777" w:rsidR="00E5083D" w:rsidRPr="00E5083D" w:rsidRDefault="00E5083D" w:rsidP="00E5083D">
            <w:pPr>
              <w:pStyle w:val="P68B1DB1-Normal1"/>
              <w:jc w:val="center"/>
              <w:rPr>
                <w:b w:val="0"/>
                <w:bCs/>
                <w:sz w:val="16"/>
                <w:szCs w:val="16"/>
              </w:rPr>
            </w:pPr>
            <w:r w:rsidRPr="00E5083D">
              <w:rPr>
                <w:b w:val="0"/>
                <w:bCs/>
                <w:sz w:val="16"/>
                <w:szCs w:val="16"/>
              </w:rPr>
              <w:t>1,606</w:t>
            </w:r>
          </w:p>
        </w:tc>
        <w:tc>
          <w:tcPr>
            <w:tcW w:w="1380" w:type="dxa"/>
            <w:vAlign w:val="center"/>
          </w:tcPr>
          <w:p w14:paraId="0B85C0E3" w14:textId="77777777"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0B85C0E4" w14:textId="77777777"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689CAFB9" w14:textId="4362BFF4"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7CED0513" w14:textId="3E6AD1AD" w:rsidR="00E5083D" w:rsidRPr="00E5083D" w:rsidRDefault="00E5083D" w:rsidP="00E5083D">
            <w:pPr>
              <w:pStyle w:val="P68B1DB1-Normal1"/>
              <w:jc w:val="center"/>
              <w:rPr>
                <w:b w:val="0"/>
                <w:bCs/>
                <w:sz w:val="16"/>
                <w:szCs w:val="16"/>
              </w:rPr>
            </w:pPr>
            <w:r w:rsidRPr="00E5083D">
              <w:rPr>
                <w:b w:val="0"/>
                <w:bCs/>
                <w:sz w:val="16"/>
                <w:szCs w:val="16"/>
              </w:rPr>
              <w:t>-</w:t>
            </w:r>
          </w:p>
        </w:tc>
      </w:tr>
      <w:tr w:rsidR="00E5083D" w:rsidRPr="00E5083D" w14:paraId="0B85C0FB" w14:textId="12802F35" w:rsidTr="00E5083D">
        <w:trPr>
          <w:trHeight w:val="305"/>
        </w:trPr>
        <w:tc>
          <w:tcPr>
            <w:tcW w:w="2120" w:type="dxa"/>
            <w:vAlign w:val="center"/>
          </w:tcPr>
          <w:p w14:paraId="0B85C0F5" w14:textId="77777777" w:rsidR="00E5083D" w:rsidRPr="00E5083D" w:rsidRDefault="00E5083D" w:rsidP="00E5083D">
            <w:pPr>
              <w:pStyle w:val="P68B1DB1-Normal1"/>
              <w:rPr>
                <w:b w:val="0"/>
                <w:bCs/>
                <w:sz w:val="16"/>
                <w:szCs w:val="16"/>
              </w:rPr>
            </w:pPr>
            <w:r w:rsidRPr="00E5083D">
              <w:rPr>
                <w:b w:val="0"/>
                <w:bCs/>
                <w:sz w:val="16"/>
                <w:szCs w:val="16"/>
              </w:rPr>
              <w:t>Land</w:t>
            </w:r>
          </w:p>
        </w:tc>
        <w:tc>
          <w:tcPr>
            <w:tcW w:w="1180" w:type="dxa"/>
            <w:vAlign w:val="center"/>
          </w:tcPr>
          <w:p w14:paraId="0B85C0F6" w14:textId="77777777" w:rsidR="00E5083D" w:rsidRPr="00E5083D" w:rsidRDefault="00E5083D" w:rsidP="00E5083D">
            <w:pPr>
              <w:pStyle w:val="P68B1DB1-Normal1"/>
              <w:ind w:left="123"/>
              <w:jc w:val="center"/>
              <w:rPr>
                <w:b w:val="0"/>
                <w:bCs/>
                <w:sz w:val="16"/>
                <w:szCs w:val="16"/>
              </w:rPr>
            </w:pPr>
            <w:r w:rsidRPr="00E5083D">
              <w:rPr>
                <w:b w:val="0"/>
                <w:bCs/>
                <w:sz w:val="16"/>
                <w:szCs w:val="16"/>
              </w:rPr>
              <w:t>815</w:t>
            </w:r>
          </w:p>
        </w:tc>
        <w:tc>
          <w:tcPr>
            <w:tcW w:w="1200" w:type="dxa"/>
            <w:vAlign w:val="center"/>
          </w:tcPr>
          <w:p w14:paraId="0B85C0F7" w14:textId="77777777" w:rsidR="00E5083D" w:rsidRPr="00E5083D" w:rsidRDefault="00E5083D" w:rsidP="00E5083D">
            <w:pPr>
              <w:pStyle w:val="P68B1DB1-Normal1"/>
              <w:jc w:val="center"/>
              <w:rPr>
                <w:b w:val="0"/>
                <w:bCs/>
                <w:sz w:val="16"/>
                <w:szCs w:val="16"/>
              </w:rPr>
            </w:pPr>
            <w:r w:rsidRPr="00E5083D">
              <w:rPr>
                <w:b w:val="0"/>
                <w:bCs/>
                <w:sz w:val="16"/>
                <w:szCs w:val="16"/>
              </w:rPr>
              <w:t>815</w:t>
            </w:r>
          </w:p>
        </w:tc>
        <w:tc>
          <w:tcPr>
            <w:tcW w:w="1380" w:type="dxa"/>
            <w:vAlign w:val="center"/>
          </w:tcPr>
          <w:p w14:paraId="0B85C0F8" w14:textId="77777777"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0B85C0F9" w14:textId="77777777"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08D78742" w14:textId="22FAB21E" w:rsidR="00E5083D" w:rsidRPr="00E5083D" w:rsidRDefault="00E5083D" w:rsidP="00E5083D">
            <w:pPr>
              <w:pStyle w:val="P68B1DB1-Normal1"/>
              <w:jc w:val="center"/>
              <w:rPr>
                <w:b w:val="0"/>
                <w:bCs/>
                <w:sz w:val="16"/>
                <w:szCs w:val="16"/>
              </w:rPr>
            </w:pPr>
            <w:r w:rsidRPr="00E5083D">
              <w:rPr>
                <w:b w:val="0"/>
                <w:bCs/>
                <w:sz w:val="16"/>
                <w:szCs w:val="16"/>
              </w:rPr>
              <w:t>-</w:t>
            </w:r>
          </w:p>
        </w:tc>
        <w:tc>
          <w:tcPr>
            <w:tcW w:w="1465" w:type="dxa"/>
            <w:vAlign w:val="center"/>
          </w:tcPr>
          <w:p w14:paraId="5A9FC5AA" w14:textId="068FDB54" w:rsidR="00E5083D" w:rsidRPr="00E5083D" w:rsidRDefault="00E5083D" w:rsidP="00E5083D">
            <w:pPr>
              <w:pStyle w:val="P68B1DB1-Normal1"/>
              <w:jc w:val="center"/>
              <w:rPr>
                <w:b w:val="0"/>
                <w:bCs/>
                <w:sz w:val="16"/>
                <w:szCs w:val="16"/>
              </w:rPr>
            </w:pPr>
            <w:r w:rsidRPr="00E5083D">
              <w:rPr>
                <w:b w:val="0"/>
                <w:bCs/>
                <w:sz w:val="16"/>
                <w:szCs w:val="16"/>
              </w:rPr>
              <w:t>-</w:t>
            </w:r>
          </w:p>
        </w:tc>
      </w:tr>
      <w:tr w:rsidR="00E5083D" w:rsidRPr="00E5083D" w14:paraId="0B85C102" w14:textId="7B692FF7" w:rsidTr="00E5083D">
        <w:trPr>
          <w:trHeight w:val="711"/>
        </w:trPr>
        <w:tc>
          <w:tcPr>
            <w:tcW w:w="2120" w:type="dxa"/>
            <w:tcBorders>
              <w:bottom w:val="single" w:sz="4" w:space="0" w:color="auto"/>
            </w:tcBorders>
            <w:vAlign w:val="center"/>
          </w:tcPr>
          <w:p w14:paraId="34D11B1C" w14:textId="77777777" w:rsidR="00E5083D" w:rsidRPr="00E5083D" w:rsidRDefault="00E5083D" w:rsidP="00E5083D">
            <w:pPr>
              <w:pStyle w:val="P68B1DB1-Normal1"/>
              <w:rPr>
                <w:b w:val="0"/>
                <w:bCs/>
                <w:sz w:val="16"/>
                <w:szCs w:val="16"/>
              </w:rPr>
            </w:pPr>
            <w:r w:rsidRPr="00E5083D">
              <w:rPr>
                <w:b w:val="0"/>
                <w:bCs/>
                <w:sz w:val="16"/>
                <w:szCs w:val="16"/>
              </w:rPr>
              <w:t>Materials, equipment and</w:t>
            </w:r>
          </w:p>
          <w:p w14:paraId="0B85C0FC" w14:textId="5509DED5" w:rsidR="00E5083D" w:rsidRPr="00E5083D" w:rsidRDefault="00E5083D" w:rsidP="00E5083D">
            <w:pPr>
              <w:pStyle w:val="P68B1DB1-Normal1"/>
              <w:rPr>
                <w:b w:val="0"/>
                <w:bCs/>
                <w:sz w:val="16"/>
                <w:szCs w:val="16"/>
              </w:rPr>
            </w:pPr>
            <w:r w:rsidRPr="00E5083D">
              <w:rPr>
                <w:b w:val="0"/>
                <w:bCs/>
                <w:sz w:val="16"/>
                <w:szCs w:val="16"/>
              </w:rPr>
              <w:t>works</w:t>
            </w:r>
          </w:p>
        </w:tc>
        <w:tc>
          <w:tcPr>
            <w:tcW w:w="1180" w:type="dxa"/>
            <w:vAlign w:val="center"/>
          </w:tcPr>
          <w:p w14:paraId="0B85C0FD" w14:textId="77777777" w:rsidR="00E5083D" w:rsidRPr="00E5083D" w:rsidRDefault="00E5083D" w:rsidP="00E5083D">
            <w:pPr>
              <w:pStyle w:val="P68B1DB1-Normal1"/>
              <w:ind w:left="103"/>
              <w:jc w:val="center"/>
              <w:rPr>
                <w:b w:val="0"/>
                <w:bCs/>
                <w:sz w:val="16"/>
                <w:szCs w:val="16"/>
              </w:rPr>
            </w:pPr>
            <w:r w:rsidRPr="00E5083D">
              <w:rPr>
                <w:b w:val="0"/>
                <w:bCs/>
                <w:sz w:val="16"/>
                <w:szCs w:val="16"/>
              </w:rPr>
              <w:t>22,483</w:t>
            </w:r>
          </w:p>
        </w:tc>
        <w:tc>
          <w:tcPr>
            <w:tcW w:w="1200" w:type="dxa"/>
            <w:vAlign w:val="center"/>
          </w:tcPr>
          <w:p w14:paraId="0B85C0FE" w14:textId="77777777" w:rsidR="00E5083D" w:rsidRPr="00E5083D" w:rsidRDefault="00E5083D" w:rsidP="00E5083D">
            <w:pPr>
              <w:pStyle w:val="P68B1DB1-Normal1"/>
              <w:jc w:val="center"/>
              <w:rPr>
                <w:b w:val="0"/>
                <w:bCs/>
                <w:sz w:val="16"/>
                <w:szCs w:val="16"/>
              </w:rPr>
            </w:pPr>
            <w:r w:rsidRPr="00E5083D">
              <w:rPr>
                <w:b w:val="0"/>
                <w:bCs/>
                <w:sz w:val="16"/>
                <w:szCs w:val="16"/>
              </w:rPr>
              <w:t>17,302</w:t>
            </w:r>
          </w:p>
        </w:tc>
        <w:tc>
          <w:tcPr>
            <w:tcW w:w="1380" w:type="dxa"/>
            <w:vAlign w:val="center"/>
          </w:tcPr>
          <w:p w14:paraId="0B85C0FF" w14:textId="77777777" w:rsidR="00E5083D" w:rsidRPr="00E5083D" w:rsidRDefault="00E5083D" w:rsidP="00E5083D">
            <w:pPr>
              <w:pStyle w:val="P68B1DB1-Normal1"/>
              <w:jc w:val="center"/>
              <w:rPr>
                <w:b w:val="0"/>
                <w:bCs/>
                <w:sz w:val="16"/>
                <w:szCs w:val="16"/>
              </w:rPr>
            </w:pPr>
            <w:r w:rsidRPr="00E5083D">
              <w:rPr>
                <w:b w:val="0"/>
                <w:bCs/>
                <w:sz w:val="16"/>
                <w:szCs w:val="16"/>
              </w:rPr>
              <w:t>2,289</w:t>
            </w:r>
          </w:p>
        </w:tc>
        <w:tc>
          <w:tcPr>
            <w:tcW w:w="1465" w:type="dxa"/>
            <w:vAlign w:val="center"/>
          </w:tcPr>
          <w:p w14:paraId="0B85C100" w14:textId="77777777" w:rsidR="00E5083D" w:rsidRPr="00E5083D" w:rsidRDefault="00E5083D" w:rsidP="00E5083D">
            <w:pPr>
              <w:pStyle w:val="P68B1DB1-Normal1"/>
              <w:jc w:val="center"/>
              <w:rPr>
                <w:b w:val="0"/>
                <w:bCs/>
                <w:sz w:val="16"/>
                <w:szCs w:val="16"/>
              </w:rPr>
            </w:pPr>
            <w:r w:rsidRPr="00E5083D">
              <w:rPr>
                <w:b w:val="0"/>
                <w:bCs/>
                <w:sz w:val="16"/>
                <w:szCs w:val="16"/>
              </w:rPr>
              <w:t>2,248</w:t>
            </w:r>
          </w:p>
        </w:tc>
        <w:tc>
          <w:tcPr>
            <w:tcW w:w="1465" w:type="dxa"/>
            <w:vAlign w:val="center"/>
          </w:tcPr>
          <w:p w14:paraId="0E8E4F2B" w14:textId="57DDE25B" w:rsidR="00E5083D" w:rsidRPr="00E5083D" w:rsidRDefault="00E5083D" w:rsidP="00E5083D">
            <w:pPr>
              <w:pStyle w:val="P68B1DB1-Normal1"/>
              <w:jc w:val="center"/>
              <w:rPr>
                <w:b w:val="0"/>
                <w:bCs/>
                <w:sz w:val="16"/>
                <w:szCs w:val="16"/>
              </w:rPr>
            </w:pPr>
            <w:r w:rsidRPr="00E5083D">
              <w:rPr>
                <w:b w:val="0"/>
                <w:bCs/>
                <w:sz w:val="16"/>
                <w:szCs w:val="16"/>
              </w:rPr>
              <w:t>100</w:t>
            </w:r>
          </w:p>
        </w:tc>
        <w:tc>
          <w:tcPr>
            <w:tcW w:w="1465" w:type="dxa"/>
            <w:vAlign w:val="center"/>
          </w:tcPr>
          <w:p w14:paraId="0D620601" w14:textId="7641A9C7" w:rsidR="00E5083D" w:rsidRPr="00E5083D" w:rsidRDefault="00E5083D" w:rsidP="00E5083D">
            <w:pPr>
              <w:pStyle w:val="P68B1DB1-Normal1"/>
              <w:jc w:val="center"/>
              <w:rPr>
                <w:b w:val="0"/>
                <w:bCs/>
                <w:sz w:val="16"/>
                <w:szCs w:val="16"/>
              </w:rPr>
            </w:pPr>
            <w:r w:rsidRPr="00E5083D">
              <w:rPr>
                <w:b w:val="0"/>
                <w:bCs/>
                <w:sz w:val="16"/>
                <w:szCs w:val="16"/>
              </w:rPr>
              <w:t>73.5</w:t>
            </w:r>
          </w:p>
        </w:tc>
      </w:tr>
      <w:tr w:rsidR="00E5083D" w:rsidRPr="00E5083D" w14:paraId="0B85C117" w14:textId="5AE70255" w:rsidTr="00E5083D">
        <w:trPr>
          <w:trHeight w:val="370"/>
        </w:trPr>
        <w:tc>
          <w:tcPr>
            <w:tcW w:w="2120" w:type="dxa"/>
            <w:vAlign w:val="center"/>
          </w:tcPr>
          <w:p w14:paraId="0B85C111" w14:textId="77777777" w:rsidR="00E5083D" w:rsidRPr="00E5083D" w:rsidRDefault="00E5083D" w:rsidP="00E5083D">
            <w:pPr>
              <w:pStyle w:val="P68B1DB1-Normal1"/>
              <w:ind w:left="160"/>
              <w:rPr>
                <w:b w:val="0"/>
                <w:bCs/>
                <w:sz w:val="16"/>
                <w:szCs w:val="16"/>
              </w:rPr>
            </w:pPr>
            <w:r w:rsidRPr="00E5083D">
              <w:rPr>
                <w:b w:val="0"/>
                <w:bCs/>
                <w:sz w:val="16"/>
                <w:szCs w:val="16"/>
              </w:rPr>
              <w:t>Total</w:t>
            </w:r>
          </w:p>
        </w:tc>
        <w:tc>
          <w:tcPr>
            <w:tcW w:w="1180" w:type="dxa"/>
            <w:vAlign w:val="center"/>
          </w:tcPr>
          <w:p w14:paraId="0B85C112" w14:textId="77777777" w:rsidR="00E5083D" w:rsidRPr="00E5083D" w:rsidRDefault="00E5083D" w:rsidP="00E5083D">
            <w:pPr>
              <w:pStyle w:val="P68B1DB1-Normal1"/>
              <w:ind w:left="103"/>
              <w:jc w:val="center"/>
              <w:rPr>
                <w:b w:val="0"/>
                <w:bCs/>
                <w:sz w:val="16"/>
                <w:szCs w:val="16"/>
              </w:rPr>
            </w:pPr>
            <w:r w:rsidRPr="00E5083D">
              <w:rPr>
                <w:b w:val="0"/>
                <w:bCs/>
                <w:sz w:val="16"/>
                <w:szCs w:val="16"/>
              </w:rPr>
              <w:t>25,138</w:t>
            </w:r>
          </w:p>
        </w:tc>
        <w:tc>
          <w:tcPr>
            <w:tcW w:w="1200" w:type="dxa"/>
            <w:vAlign w:val="center"/>
          </w:tcPr>
          <w:p w14:paraId="0B85C113" w14:textId="77777777" w:rsidR="00E5083D" w:rsidRPr="00E5083D" w:rsidRDefault="00E5083D" w:rsidP="00E5083D">
            <w:pPr>
              <w:pStyle w:val="P68B1DB1-Normal1"/>
              <w:jc w:val="center"/>
              <w:rPr>
                <w:b w:val="0"/>
                <w:bCs/>
                <w:sz w:val="16"/>
                <w:szCs w:val="16"/>
              </w:rPr>
            </w:pPr>
            <w:r w:rsidRPr="00E5083D">
              <w:rPr>
                <w:b w:val="0"/>
                <w:bCs/>
                <w:sz w:val="16"/>
                <w:szCs w:val="16"/>
              </w:rPr>
              <w:t>19,723</w:t>
            </w:r>
          </w:p>
        </w:tc>
        <w:tc>
          <w:tcPr>
            <w:tcW w:w="1380" w:type="dxa"/>
            <w:vAlign w:val="center"/>
          </w:tcPr>
          <w:p w14:paraId="0B85C114" w14:textId="77777777" w:rsidR="00E5083D" w:rsidRPr="00E5083D" w:rsidRDefault="00E5083D" w:rsidP="00E5083D">
            <w:pPr>
              <w:pStyle w:val="P68B1DB1-Normal1"/>
              <w:jc w:val="center"/>
              <w:rPr>
                <w:b w:val="0"/>
                <w:bCs/>
                <w:sz w:val="16"/>
                <w:szCs w:val="16"/>
              </w:rPr>
            </w:pPr>
            <w:r w:rsidRPr="00E5083D">
              <w:rPr>
                <w:b w:val="0"/>
                <w:bCs/>
                <w:sz w:val="16"/>
                <w:szCs w:val="16"/>
              </w:rPr>
              <w:t>2,289</w:t>
            </w:r>
          </w:p>
        </w:tc>
        <w:tc>
          <w:tcPr>
            <w:tcW w:w="1465" w:type="dxa"/>
            <w:vAlign w:val="center"/>
          </w:tcPr>
          <w:p w14:paraId="0B85C115" w14:textId="77777777" w:rsidR="00E5083D" w:rsidRPr="00E5083D" w:rsidRDefault="00E5083D" w:rsidP="00E5083D">
            <w:pPr>
              <w:pStyle w:val="P68B1DB1-Normal1"/>
              <w:jc w:val="center"/>
              <w:rPr>
                <w:b w:val="0"/>
                <w:bCs/>
                <w:sz w:val="16"/>
                <w:szCs w:val="16"/>
              </w:rPr>
            </w:pPr>
            <w:r w:rsidRPr="00E5083D">
              <w:rPr>
                <w:b w:val="0"/>
                <w:bCs/>
                <w:sz w:val="16"/>
                <w:szCs w:val="16"/>
              </w:rPr>
              <w:t>2,248</w:t>
            </w:r>
          </w:p>
        </w:tc>
        <w:tc>
          <w:tcPr>
            <w:tcW w:w="1465" w:type="dxa"/>
            <w:vAlign w:val="center"/>
          </w:tcPr>
          <w:p w14:paraId="402F9E27" w14:textId="501B26A3" w:rsidR="00E5083D" w:rsidRPr="00E5083D" w:rsidRDefault="00E5083D" w:rsidP="00E5083D">
            <w:pPr>
              <w:pStyle w:val="P68B1DB1-Normal1"/>
              <w:jc w:val="center"/>
              <w:rPr>
                <w:b w:val="0"/>
                <w:bCs/>
                <w:sz w:val="16"/>
                <w:szCs w:val="16"/>
              </w:rPr>
            </w:pPr>
            <w:r w:rsidRPr="00E5083D">
              <w:rPr>
                <w:b w:val="0"/>
                <w:bCs/>
                <w:sz w:val="16"/>
                <w:szCs w:val="16"/>
              </w:rPr>
              <w:t>100</w:t>
            </w:r>
          </w:p>
        </w:tc>
        <w:tc>
          <w:tcPr>
            <w:tcW w:w="1465" w:type="dxa"/>
            <w:vAlign w:val="center"/>
          </w:tcPr>
          <w:p w14:paraId="6B515FA0" w14:textId="3CA6120F" w:rsidR="00E5083D" w:rsidRPr="00E5083D" w:rsidRDefault="00E5083D" w:rsidP="00E5083D">
            <w:pPr>
              <w:pStyle w:val="P68B1DB1-Normal1"/>
              <w:jc w:val="center"/>
              <w:rPr>
                <w:b w:val="0"/>
                <w:bCs/>
                <w:sz w:val="16"/>
                <w:szCs w:val="16"/>
              </w:rPr>
            </w:pPr>
            <w:r w:rsidRPr="00E5083D">
              <w:rPr>
                <w:b w:val="0"/>
                <w:bCs/>
                <w:sz w:val="16"/>
                <w:szCs w:val="16"/>
              </w:rPr>
              <w:t>73.5</w:t>
            </w:r>
          </w:p>
        </w:tc>
      </w:tr>
    </w:tbl>
    <w:p w14:paraId="0B85C118" w14:textId="77777777" w:rsidR="00631FAB" w:rsidRDefault="00631FAB">
      <w:pPr>
        <w:spacing w:line="67" w:lineRule="exact"/>
        <w:rPr>
          <w:sz w:val="24"/>
        </w:rPr>
      </w:pPr>
    </w:p>
    <w:p w14:paraId="0B85C119" w14:textId="77777777" w:rsidR="00631FAB" w:rsidRDefault="0067513F">
      <w:pPr>
        <w:pStyle w:val="P68B1DB1-Normal5"/>
        <w:numPr>
          <w:ilvl w:val="0"/>
          <w:numId w:val="2"/>
        </w:numPr>
        <w:tabs>
          <w:tab w:val="left" w:pos="500"/>
        </w:tabs>
        <w:ind w:left="500" w:hanging="104"/>
        <w:rPr>
          <w:sz w:val="20"/>
          <w:vertAlign w:val="superscript"/>
        </w:rPr>
      </w:pPr>
      <w:r>
        <w:t>Investment amount approved with Board Agreement No. 066-2017-PP of 06.26.2017</w:t>
      </w:r>
    </w:p>
    <w:p w14:paraId="0B85C11A" w14:textId="77777777" w:rsidR="00631FAB" w:rsidRDefault="00631FAB">
      <w:pPr>
        <w:spacing w:line="2" w:lineRule="exact"/>
        <w:rPr>
          <w:sz w:val="24"/>
        </w:rPr>
      </w:pPr>
    </w:p>
    <w:p w14:paraId="0B85C11B" w14:textId="77777777" w:rsidR="00631FAB" w:rsidRDefault="0067513F">
      <w:pPr>
        <w:pStyle w:val="P68B1DB1-Normal6"/>
        <w:numPr>
          <w:ilvl w:val="0"/>
          <w:numId w:val="3"/>
        </w:numPr>
        <w:tabs>
          <w:tab w:val="left" w:pos="500"/>
        </w:tabs>
        <w:ind w:left="500" w:hanging="104"/>
        <w:rPr>
          <w:sz w:val="19"/>
          <w:vertAlign w:val="superscript"/>
        </w:rPr>
      </w:pPr>
      <w:r>
        <w:t>2021 Budget Modification, approved with Board Agreement 153-2021-PP of 12.29.2021</w:t>
      </w:r>
    </w:p>
    <w:p w14:paraId="0B85C11C" w14:textId="77777777" w:rsidR="00631FAB" w:rsidRDefault="00631FAB">
      <w:pPr>
        <w:spacing w:line="182" w:lineRule="exact"/>
        <w:rPr>
          <w:rFonts w:ascii="Arial" w:eastAsia="Arial" w:hAnsi="Arial" w:cs="Arial"/>
          <w:b/>
          <w:sz w:val="19"/>
          <w:vertAlign w:val="superscript"/>
        </w:rPr>
      </w:pPr>
    </w:p>
    <w:p w14:paraId="0B85C149" w14:textId="2B96A648" w:rsidR="00631FAB" w:rsidRPr="00E5083D" w:rsidRDefault="0067513F" w:rsidP="00E5083D">
      <w:pPr>
        <w:pStyle w:val="P68B1DB1-Normal1"/>
        <w:numPr>
          <w:ilvl w:val="1"/>
          <w:numId w:val="3"/>
        </w:numPr>
        <w:tabs>
          <w:tab w:val="left" w:pos="620"/>
        </w:tabs>
        <w:ind w:left="620" w:hanging="217"/>
      </w:pPr>
      <w:r>
        <w:t>Main activities carried out and current situation</w:t>
      </w:r>
    </w:p>
    <w:p w14:paraId="0B85C14A" w14:textId="77777777" w:rsidR="00631FAB" w:rsidRPr="00E5083D" w:rsidRDefault="0067513F">
      <w:pPr>
        <w:pStyle w:val="P68B1DB1-Normal1"/>
        <w:spacing w:line="257" w:lineRule="auto"/>
        <w:ind w:left="400"/>
        <w:jc w:val="both"/>
        <w:rPr>
          <w:b w:val="0"/>
          <w:bCs/>
          <w:sz w:val="20"/>
        </w:rPr>
      </w:pPr>
      <w:r w:rsidRPr="00E5083D">
        <w:rPr>
          <w:b w:val="0"/>
          <w:bCs/>
        </w:rPr>
        <w:t>'- Comprehensive physical execution remained at 73.5% during 2021. In this regard, the project has been detained since April 2020 due to direct treatment due to controversies with the OBS - IMECON S.A. Consortium, whose expert opinion culminated on 11.12.2021 with the issuance of the report, which includes an acknowledgment of 1.5 MMS/ in favor of the Consortium. To date, PETROPERÚ and the contractor agree on deadlines for its application.</w:t>
      </w:r>
    </w:p>
    <w:p w14:paraId="0B85C14B" w14:textId="77777777" w:rsidR="00631FAB" w:rsidRPr="00E5083D" w:rsidRDefault="00631FAB">
      <w:pPr>
        <w:spacing w:line="241" w:lineRule="exact"/>
        <w:rPr>
          <w:bCs/>
          <w:sz w:val="24"/>
        </w:rPr>
      </w:pPr>
    </w:p>
    <w:p w14:paraId="0B85C14C" w14:textId="77777777" w:rsidR="00631FAB" w:rsidRPr="00E5083D" w:rsidRDefault="0067513F">
      <w:pPr>
        <w:pStyle w:val="P68B1DB1-Normal1"/>
        <w:numPr>
          <w:ilvl w:val="0"/>
          <w:numId w:val="4"/>
        </w:numPr>
        <w:tabs>
          <w:tab w:val="left" w:pos="534"/>
        </w:tabs>
        <w:spacing w:line="257" w:lineRule="auto"/>
        <w:ind w:left="400" w:firstLine="3"/>
        <w:jc w:val="both"/>
        <w:rPr>
          <w:b w:val="0"/>
          <w:bCs/>
        </w:rPr>
      </w:pPr>
      <w:r w:rsidRPr="00E5083D">
        <w:rPr>
          <w:b w:val="0"/>
          <w:bCs/>
        </w:rPr>
        <w:t xml:space="preserve">The progress of the works of the Management, Engineering and Mobilization Plan is 93%, civil works 61%, mechanical works 62%, electrical works 55%, instrumentation and control </w:t>
      </w:r>
      <w:proofErr w:type="gramStart"/>
      <w:r w:rsidRPr="00E5083D">
        <w:rPr>
          <w:b w:val="0"/>
          <w:bCs/>
        </w:rPr>
        <w:t>works</w:t>
      </w:r>
      <w:proofErr w:type="gramEnd"/>
      <w:r w:rsidRPr="00E5083D">
        <w:rPr>
          <w:b w:val="0"/>
          <w:bCs/>
        </w:rPr>
        <w:t xml:space="preserve"> 1%; while the works of mobilization of equipment and infrastructure, earthworks and tank foundations, were 100% completed.</w:t>
      </w:r>
    </w:p>
    <w:p w14:paraId="0B85C14D" w14:textId="77777777" w:rsidR="00631FAB" w:rsidRPr="00E5083D" w:rsidRDefault="00631FAB">
      <w:pPr>
        <w:spacing w:line="237" w:lineRule="exact"/>
        <w:rPr>
          <w:rFonts w:ascii="Arial" w:eastAsia="Arial" w:hAnsi="Arial" w:cs="Arial"/>
          <w:bCs/>
          <w:sz w:val="19"/>
        </w:rPr>
      </w:pPr>
    </w:p>
    <w:p w14:paraId="0B85C14E" w14:textId="77777777" w:rsidR="00631FAB" w:rsidRPr="00E5083D" w:rsidRDefault="0067513F">
      <w:pPr>
        <w:pStyle w:val="P68B1DB1-Normal1"/>
        <w:numPr>
          <w:ilvl w:val="0"/>
          <w:numId w:val="4"/>
        </w:numPr>
        <w:tabs>
          <w:tab w:val="left" w:pos="520"/>
        </w:tabs>
        <w:ind w:left="520" w:hanging="117"/>
        <w:rPr>
          <w:b w:val="0"/>
          <w:bCs/>
        </w:rPr>
      </w:pPr>
      <w:r w:rsidRPr="00E5083D">
        <w:rPr>
          <w:b w:val="0"/>
          <w:bCs/>
        </w:rPr>
        <w:t>There is a valid Building License until 08.10.2023.</w:t>
      </w:r>
    </w:p>
    <w:sectPr w:rsidR="00631FAB" w:rsidRPr="00E5083D" w:rsidSect="00076C2B">
      <w:type w:val="continuous"/>
      <w:pgSz w:w="12240" w:h="15840"/>
      <w:pgMar w:top="1107" w:right="120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5B30CE60"/>
    <w:lvl w:ilvl="0" w:tplc="D83E6C0A">
      <w:start w:val="1"/>
      <w:numFmt w:val="bullet"/>
      <w:lvlText w:val="1"/>
      <w:lvlJc w:val="left"/>
    </w:lvl>
    <w:lvl w:ilvl="1" w:tplc="27DED6F0">
      <w:numFmt w:val="decimal"/>
      <w:lvlText w:val=""/>
      <w:lvlJc w:val="left"/>
    </w:lvl>
    <w:lvl w:ilvl="2" w:tplc="64DCD934">
      <w:numFmt w:val="decimal"/>
      <w:lvlText w:val=""/>
      <w:lvlJc w:val="left"/>
    </w:lvl>
    <w:lvl w:ilvl="3" w:tplc="578C1DCA">
      <w:numFmt w:val="decimal"/>
      <w:lvlText w:val=""/>
      <w:lvlJc w:val="left"/>
    </w:lvl>
    <w:lvl w:ilvl="4" w:tplc="4EA688C0">
      <w:numFmt w:val="decimal"/>
      <w:lvlText w:val=""/>
      <w:lvlJc w:val="left"/>
    </w:lvl>
    <w:lvl w:ilvl="5" w:tplc="C1F423CC">
      <w:numFmt w:val="decimal"/>
      <w:lvlText w:val=""/>
      <w:lvlJc w:val="left"/>
    </w:lvl>
    <w:lvl w:ilvl="6" w:tplc="A072D92E">
      <w:numFmt w:val="decimal"/>
      <w:lvlText w:val=""/>
      <w:lvlJc w:val="left"/>
    </w:lvl>
    <w:lvl w:ilvl="7" w:tplc="5A32C048">
      <w:numFmt w:val="decimal"/>
      <w:lvlText w:val=""/>
      <w:lvlJc w:val="left"/>
    </w:lvl>
    <w:lvl w:ilvl="8" w:tplc="13783178">
      <w:numFmt w:val="decimal"/>
      <w:lvlText w:val=""/>
      <w:lvlJc w:val="left"/>
    </w:lvl>
  </w:abstractNum>
  <w:abstractNum w:abstractNumId="1" w15:restartNumberingAfterBreak="0">
    <w:nsid w:val="2AE8944A"/>
    <w:multiLevelType w:val="hybridMultilevel"/>
    <w:tmpl w:val="2D1029BE"/>
    <w:lvl w:ilvl="0" w:tplc="BBCC2D5A">
      <w:start w:val="1"/>
      <w:numFmt w:val="bullet"/>
      <w:lvlText w:val="2"/>
      <w:lvlJc w:val="left"/>
    </w:lvl>
    <w:lvl w:ilvl="1" w:tplc="56AA4830">
      <w:start w:val="5"/>
      <w:numFmt w:val="decimal"/>
      <w:lvlText w:val="%2."/>
      <w:lvlJc w:val="left"/>
    </w:lvl>
    <w:lvl w:ilvl="2" w:tplc="C884E90A">
      <w:numFmt w:val="decimal"/>
      <w:lvlText w:val=""/>
      <w:lvlJc w:val="left"/>
    </w:lvl>
    <w:lvl w:ilvl="3" w:tplc="D16A7962">
      <w:numFmt w:val="decimal"/>
      <w:lvlText w:val=""/>
      <w:lvlJc w:val="left"/>
    </w:lvl>
    <w:lvl w:ilvl="4" w:tplc="3D8EE900">
      <w:numFmt w:val="decimal"/>
      <w:lvlText w:val=""/>
      <w:lvlJc w:val="left"/>
    </w:lvl>
    <w:lvl w:ilvl="5" w:tplc="5F9C70BE">
      <w:numFmt w:val="decimal"/>
      <w:lvlText w:val=""/>
      <w:lvlJc w:val="left"/>
    </w:lvl>
    <w:lvl w:ilvl="6" w:tplc="CC6E111E">
      <w:numFmt w:val="decimal"/>
      <w:lvlText w:val=""/>
      <w:lvlJc w:val="left"/>
    </w:lvl>
    <w:lvl w:ilvl="7" w:tplc="21980AC6">
      <w:numFmt w:val="decimal"/>
      <w:lvlText w:val=""/>
      <w:lvlJc w:val="left"/>
    </w:lvl>
    <w:lvl w:ilvl="8" w:tplc="AB9AA49E">
      <w:numFmt w:val="decimal"/>
      <w:lvlText w:val=""/>
      <w:lvlJc w:val="left"/>
    </w:lvl>
  </w:abstractNum>
  <w:abstractNum w:abstractNumId="2" w15:restartNumberingAfterBreak="0">
    <w:nsid w:val="625558EC"/>
    <w:multiLevelType w:val="hybridMultilevel"/>
    <w:tmpl w:val="AF9C941E"/>
    <w:lvl w:ilvl="0" w:tplc="EBDAA290">
      <w:start w:val="1"/>
      <w:numFmt w:val="bullet"/>
      <w:lvlText w:val="-"/>
      <w:lvlJc w:val="left"/>
    </w:lvl>
    <w:lvl w:ilvl="1" w:tplc="D7D220AA">
      <w:numFmt w:val="decimal"/>
      <w:lvlText w:val=""/>
      <w:lvlJc w:val="left"/>
    </w:lvl>
    <w:lvl w:ilvl="2" w:tplc="6ABC4754">
      <w:numFmt w:val="decimal"/>
      <w:lvlText w:val=""/>
      <w:lvlJc w:val="left"/>
    </w:lvl>
    <w:lvl w:ilvl="3" w:tplc="BB2AEFA8">
      <w:numFmt w:val="decimal"/>
      <w:lvlText w:val=""/>
      <w:lvlJc w:val="left"/>
    </w:lvl>
    <w:lvl w:ilvl="4" w:tplc="BA1E9F4E">
      <w:numFmt w:val="decimal"/>
      <w:lvlText w:val=""/>
      <w:lvlJc w:val="left"/>
    </w:lvl>
    <w:lvl w:ilvl="5" w:tplc="DC343D38">
      <w:numFmt w:val="decimal"/>
      <w:lvlText w:val=""/>
      <w:lvlJc w:val="left"/>
    </w:lvl>
    <w:lvl w:ilvl="6" w:tplc="E3523BF2">
      <w:numFmt w:val="decimal"/>
      <w:lvlText w:val=""/>
      <w:lvlJc w:val="left"/>
    </w:lvl>
    <w:lvl w:ilvl="7" w:tplc="2270889E">
      <w:numFmt w:val="decimal"/>
      <w:lvlText w:val=""/>
      <w:lvlJc w:val="left"/>
    </w:lvl>
    <w:lvl w:ilvl="8" w:tplc="9602754E">
      <w:numFmt w:val="decimal"/>
      <w:lvlText w:val=""/>
      <w:lvlJc w:val="left"/>
    </w:lvl>
  </w:abstractNum>
  <w:abstractNum w:abstractNumId="3" w15:restartNumberingAfterBreak="0">
    <w:nsid w:val="74B0DC51"/>
    <w:multiLevelType w:val="hybridMultilevel"/>
    <w:tmpl w:val="4A76F268"/>
    <w:lvl w:ilvl="0" w:tplc="16424130">
      <w:start w:val="2"/>
      <w:numFmt w:val="decimal"/>
      <w:lvlText w:val="%1."/>
      <w:lvlJc w:val="left"/>
    </w:lvl>
    <w:lvl w:ilvl="1" w:tplc="2F82FAB4">
      <w:numFmt w:val="decimal"/>
      <w:lvlText w:val=""/>
      <w:lvlJc w:val="left"/>
    </w:lvl>
    <w:lvl w:ilvl="2" w:tplc="647C4254">
      <w:numFmt w:val="decimal"/>
      <w:lvlText w:val=""/>
      <w:lvlJc w:val="left"/>
    </w:lvl>
    <w:lvl w:ilvl="3" w:tplc="E2429A6C">
      <w:numFmt w:val="decimal"/>
      <w:lvlText w:val=""/>
      <w:lvlJc w:val="left"/>
    </w:lvl>
    <w:lvl w:ilvl="4" w:tplc="99A00526">
      <w:numFmt w:val="decimal"/>
      <w:lvlText w:val=""/>
      <w:lvlJc w:val="left"/>
    </w:lvl>
    <w:lvl w:ilvl="5" w:tplc="FA7623DC">
      <w:numFmt w:val="decimal"/>
      <w:lvlText w:val=""/>
      <w:lvlJc w:val="left"/>
    </w:lvl>
    <w:lvl w:ilvl="6" w:tplc="25349564">
      <w:numFmt w:val="decimal"/>
      <w:lvlText w:val=""/>
      <w:lvlJc w:val="left"/>
    </w:lvl>
    <w:lvl w:ilvl="7" w:tplc="C7A6A594">
      <w:numFmt w:val="decimal"/>
      <w:lvlText w:val=""/>
      <w:lvlJc w:val="left"/>
    </w:lvl>
    <w:lvl w:ilvl="8" w:tplc="887EA966">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FAB"/>
    <w:rsid w:val="00076C2B"/>
    <w:rsid w:val="00631FAB"/>
    <w:rsid w:val="0067513F"/>
    <w:rsid w:val="00E5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5C0A1"/>
  <w15:docId w15:val="{A820B3B7-0E2C-4DAF-9092-0861C441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rFonts w:ascii="Arial" w:eastAsia="Arial" w:hAnsi="Arial" w:cs="Arial"/>
      <w:b/>
      <w:sz w:val="19"/>
    </w:rPr>
  </w:style>
  <w:style w:type="paragraph" w:customStyle="1" w:styleId="P68B1DB1-Normal2">
    <w:name w:val="P68B1DB1-Normal2"/>
    <w:basedOn w:val="Normal"/>
    <w:rPr>
      <w:rFonts w:ascii="Arial" w:eastAsia="Arial" w:hAnsi="Arial" w:cs="Arial"/>
      <w:b/>
      <w:sz w:val="18"/>
    </w:rPr>
  </w:style>
  <w:style w:type="paragraph" w:customStyle="1" w:styleId="P68B1DB1-Normal3">
    <w:name w:val="P68B1DB1-Normal3"/>
    <w:basedOn w:val="Normal"/>
    <w:rPr>
      <w:sz w:val="24"/>
    </w:rPr>
  </w:style>
  <w:style w:type="paragraph" w:customStyle="1" w:styleId="P68B1DB1-Normal4">
    <w:name w:val="P68B1DB1-Normal4"/>
    <w:basedOn w:val="Normal"/>
    <w:rPr>
      <w:rFonts w:ascii="Arial" w:eastAsia="Arial" w:hAnsi="Arial" w:cs="Arial"/>
      <w:b/>
    </w:rPr>
  </w:style>
  <w:style w:type="paragraph" w:customStyle="1" w:styleId="P68B1DB1-Normal5">
    <w:name w:val="P68B1DB1-Normal5"/>
    <w:basedOn w:val="Normal"/>
    <w:rPr>
      <w:rFonts w:ascii="Arial" w:eastAsia="Arial" w:hAnsi="Arial" w:cs="Arial"/>
      <w:b/>
      <w:sz w:val="15"/>
    </w:rPr>
  </w:style>
  <w:style w:type="paragraph" w:customStyle="1" w:styleId="P68B1DB1-Normal6">
    <w:name w:val="P68B1DB1-Normal6"/>
    <w:basedOn w:val="Normal"/>
    <w:rPr>
      <w:rFonts w:ascii="Arial" w:eastAsia="Arial" w:hAnsi="Arial" w:cs="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Zlatko Perez-Luna</cp:lastModifiedBy>
  <cp:revision>4</cp:revision>
  <dcterms:created xsi:type="dcterms:W3CDTF">2022-01-20T21:29:00Z</dcterms:created>
  <dcterms:modified xsi:type="dcterms:W3CDTF">2022-01-22T06:35:00Z</dcterms:modified>
</cp:coreProperties>
</file>