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81F55" w14:textId="6AB857FE" w:rsidR="004E65B5" w:rsidRPr="004E65B5" w:rsidRDefault="00000000" w:rsidP="00AC21CC">
      <w:pPr>
        <w:pStyle w:val="Ttulo"/>
        <w:numPr>
          <w:ilvl w:val="0"/>
          <w:numId w:val="0"/>
        </w:numPr>
        <w:spacing w:before="0" w:after="0" w:line="240" w:lineRule="auto"/>
        <w:contextualSpacing w:val="0"/>
        <w:jc w:val="center"/>
        <w:outlineLvl w:val="9"/>
        <w:rPr>
          <w:rFonts w:eastAsiaTheme="minorHAnsi"/>
          <w:b w:val="0"/>
          <w:bCs/>
          <w:u w:val="single"/>
          <w:lang w:eastAsia="en-US"/>
        </w:rPr>
      </w:pPr>
      <w:bookmarkStart w:id="0" w:name="_Toc75269216"/>
      <w:r w:rsidRPr="007A09D6">
        <w:t xml:space="preserve">APÉNDICE </w:t>
      </w:r>
      <w:r w:rsidR="008C2347">
        <w:t>N°</w:t>
      </w:r>
      <w:r w:rsidR="005F7DB2">
        <w:t>05</w:t>
      </w:r>
      <w:r w:rsidRPr="007A09D6">
        <w:t xml:space="preserve">: </w:t>
      </w:r>
      <w:bookmarkEnd w:id="0"/>
      <w:r w:rsidR="004E65B5" w:rsidRPr="00465451">
        <w:rPr>
          <w:rFonts w:eastAsiaTheme="minorHAnsi"/>
          <w:bCs/>
          <w:lang w:eastAsia="en-US"/>
        </w:rPr>
        <w:t>PENALIDADES DE AMBIENTE, SEGURIDAD Y SALUD OCUPACIONAL</w:t>
      </w:r>
    </w:p>
    <w:p w14:paraId="487D21BC" w14:textId="038404A3" w:rsidR="004E65B5" w:rsidRDefault="004E65B5" w:rsidP="004E65B5">
      <w:pPr>
        <w:pStyle w:val="Prrafodelista"/>
        <w:autoSpaceDE w:val="0"/>
        <w:autoSpaceDN w:val="0"/>
        <w:adjustRightInd w:val="0"/>
        <w:ind w:left="709"/>
        <w:jc w:val="center"/>
        <w:rPr>
          <w:rFonts w:cs="Arial"/>
          <w:b/>
          <w:bCs/>
        </w:rPr>
      </w:pPr>
    </w:p>
    <w:p w14:paraId="66EB6EA3" w14:textId="77777777" w:rsidR="00746C90" w:rsidRDefault="004E65B5" w:rsidP="00E6416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60"/>
        <w:ind w:left="283" w:hanging="357"/>
        <w:contextualSpacing w:val="0"/>
        <w:jc w:val="both"/>
        <w:rPr>
          <w:rFonts w:cs="Arial"/>
        </w:rPr>
      </w:pPr>
      <w:r w:rsidRPr="004E65B5">
        <w:rPr>
          <w:rFonts w:cs="Arial"/>
        </w:rPr>
        <w:t>Las presentes cláusulas y penalidades de Ambiente, Seguridad y Salud Ocupacional aplicarán para los nuevos contratos de servicios y obras que se lleven a cabo</w:t>
      </w:r>
      <w:r>
        <w:rPr>
          <w:rFonts w:cs="Arial"/>
        </w:rPr>
        <w:t xml:space="preserve"> </w:t>
      </w:r>
      <w:r w:rsidRPr="004E65B5">
        <w:rPr>
          <w:rFonts w:cs="Arial"/>
        </w:rPr>
        <w:t>en las instalaciones de PETROPERÚ o de terceros donde PETROPERÚ brinde un servicio operativo (</w:t>
      </w:r>
      <w:proofErr w:type="spellStart"/>
      <w:r w:rsidRPr="004E65B5">
        <w:rPr>
          <w:rFonts w:cs="Arial"/>
        </w:rPr>
        <w:t>e.g</w:t>
      </w:r>
      <w:proofErr w:type="spellEnd"/>
      <w:r w:rsidRPr="004E65B5">
        <w:rPr>
          <w:rFonts w:cs="Arial"/>
        </w:rPr>
        <w:t>.: servicios en minas, en instalaciones portuarias, etc.). Se</w:t>
      </w:r>
      <w:r>
        <w:rPr>
          <w:rFonts w:cs="Arial"/>
        </w:rPr>
        <w:t xml:space="preserve"> </w:t>
      </w:r>
      <w:r w:rsidRPr="004E65B5">
        <w:rPr>
          <w:rFonts w:cs="Arial"/>
        </w:rPr>
        <w:t xml:space="preserve">incluye el derecho de vía del Oleoducto </w:t>
      </w:r>
      <w:proofErr w:type="spellStart"/>
      <w:r w:rsidRPr="004E65B5">
        <w:rPr>
          <w:rFonts w:cs="Arial"/>
        </w:rPr>
        <w:t>Nor</w:t>
      </w:r>
      <w:proofErr w:type="spellEnd"/>
      <w:r w:rsidRPr="004E65B5">
        <w:rPr>
          <w:rFonts w:cs="Arial"/>
        </w:rPr>
        <w:t xml:space="preserve"> </w:t>
      </w:r>
      <w:proofErr w:type="gramStart"/>
      <w:r w:rsidRPr="004E65B5">
        <w:rPr>
          <w:rFonts w:cs="Arial"/>
        </w:rPr>
        <w:t>Peruano</w:t>
      </w:r>
      <w:proofErr w:type="gramEnd"/>
      <w:r w:rsidRPr="004E65B5">
        <w:rPr>
          <w:rFonts w:cs="Arial"/>
        </w:rPr>
        <w:t>, así como actividades de transporte de hidrocarburos vía terrestre, lacustre o marítima.</w:t>
      </w:r>
    </w:p>
    <w:p w14:paraId="0A267A98" w14:textId="509107F7" w:rsidR="004E65B5" w:rsidRPr="004E65B5" w:rsidRDefault="004E65B5" w:rsidP="00E6416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60"/>
        <w:ind w:left="284"/>
        <w:contextualSpacing w:val="0"/>
        <w:jc w:val="both"/>
        <w:rPr>
          <w:rFonts w:cs="Arial"/>
        </w:rPr>
      </w:pPr>
      <w:r w:rsidRPr="004E65B5">
        <w:rPr>
          <w:rFonts w:cs="Arial"/>
        </w:rPr>
        <w:t>Cualquier modificación de</w:t>
      </w:r>
      <w:r>
        <w:rPr>
          <w:rFonts w:cs="Arial"/>
        </w:rPr>
        <w:t xml:space="preserve"> </w:t>
      </w:r>
      <w:r w:rsidRPr="004E65B5">
        <w:rPr>
          <w:rFonts w:cs="Arial"/>
        </w:rPr>
        <w:t>las cláusulas y penalidades, durante el proceso de elaboración de condiciones técnicas, absolución de consultas o integración de bases, debe ser coordinada con la</w:t>
      </w:r>
      <w:r>
        <w:rPr>
          <w:rFonts w:cs="Arial"/>
        </w:rPr>
        <w:t xml:space="preserve"> </w:t>
      </w:r>
      <w:r w:rsidRPr="004E65B5">
        <w:rPr>
          <w:rFonts w:cs="Arial"/>
        </w:rPr>
        <w:t>Jefatura QHSSE de la sede correspondiente, dejando constancia de dicha coordinación a través de una evidencia objetiva (correo electrónico, memorando, informe).</w:t>
      </w:r>
    </w:p>
    <w:p w14:paraId="222C1FB4" w14:textId="48518DB7" w:rsidR="004E65B5" w:rsidRPr="004E65B5" w:rsidRDefault="004E65B5" w:rsidP="00E6416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60"/>
        <w:ind w:left="284"/>
        <w:contextualSpacing w:val="0"/>
        <w:jc w:val="both"/>
        <w:rPr>
          <w:rFonts w:cs="Arial"/>
        </w:rPr>
      </w:pPr>
      <w:r w:rsidRPr="004E65B5">
        <w:rPr>
          <w:rFonts w:cs="Arial"/>
        </w:rPr>
        <w:t>En caso el Contratista, sus trabajadores y/o personal:</w:t>
      </w:r>
    </w:p>
    <w:p w14:paraId="11C9091F" w14:textId="7BB68BE7" w:rsidR="004E65B5" w:rsidRPr="004E65B5" w:rsidRDefault="004E65B5" w:rsidP="00E64165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60"/>
        <w:ind w:left="426" w:hanging="142"/>
        <w:contextualSpacing w:val="0"/>
        <w:jc w:val="both"/>
        <w:rPr>
          <w:rFonts w:cs="Arial"/>
        </w:rPr>
      </w:pPr>
      <w:r w:rsidRPr="004E65B5">
        <w:rPr>
          <w:rFonts w:cs="Arial"/>
        </w:rPr>
        <w:t>Intente o cometa actos de sustracción (robo o hurto) de bienes o sustancias de propiedad de PETROPERÚ, o</w:t>
      </w:r>
    </w:p>
    <w:p w14:paraId="686F9DBC" w14:textId="451C0DC4" w:rsidR="004E65B5" w:rsidRDefault="004E65B5" w:rsidP="00E64165">
      <w:pPr>
        <w:pStyle w:val="Prrafodelista"/>
        <w:numPr>
          <w:ilvl w:val="1"/>
          <w:numId w:val="8"/>
        </w:numPr>
        <w:autoSpaceDE w:val="0"/>
        <w:autoSpaceDN w:val="0"/>
        <w:adjustRightInd w:val="0"/>
        <w:spacing w:after="60"/>
        <w:ind w:left="426" w:hanging="142"/>
        <w:contextualSpacing w:val="0"/>
        <w:jc w:val="both"/>
        <w:rPr>
          <w:rFonts w:cs="Arial"/>
        </w:rPr>
      </w:pPr>
      <w:r w:rsidRPr="004E65B5">
        <w:rPr>
          <w:rFonts w:cs="Arial"/>
        </w:rPr>
        <w:t>Se presente a laborar bajo la influencia del alcohol o las drogas,</w:t>
      </w:r>
    </w:p>
    <w:p w14:paraId="60490260" w14:textId="06BFDA19" w:rsidR="00E64165" w:rsidRPr="004E65B5" w:rsidRDefault="00E64165" w:rsidP="00E64165">
      <w:pPr>
        <w:pStyle w:val="Prrafodelista"/>
        <w:autoSpaceDE w:val="0"/>
        <w:autoSpaceDN w:val="0"/>
        <w:adjustRightInd w:val="0"/>
        <w:spacing w:after="60"/>
        <w:ind w:left="284"/>
        <w:contextualSpacing w:val="0"/>
        <w:jc w:val="both"/>
        <w:rPr>
          <w:rFonts w:cs="Arial"/>
        </w:rPr>
      </w:pPr>
      <w:r w:rsidRPr="00E64165">
        <w:rPr>
          <w:rFonts w:cs="Arial"/>
        </w:rPr>
        <w:t xml:space="preserve">PETROPERÚ como medida inmediata </w:t>
      </w:r>
      <w:proofErr w:type="gramStart"/>
      <w:r w:rsidRPr="00E64165">
        <w:rPr>
          <w:rFonts w:cs="Arial"/>
        </w:rPr>
        <w:t>prohibirá</w:t>
      </w:r>
      <w:proofErr w:type="gramEnd"/>
      <w:r w:rsidRPr="00E64165">
        <w:rPr>
          <w:rFonts w:cs="Arial"/>
        </w:rPr>
        <w:t xml:space="preserve"> el ingreso del trabajador relacionado con dicho incumplimiento a cualquier de sus instalaciones de manera indeterminada, sin perjuicio de adoptar las medidas pertinentes contra el Contratista.</w:t>
      </w:r>
    </w:p>
    <w:p w14:paraId="725DF84A" w14:textId="3C42E382" w:rsidR="004E65B5" w:rsidRPr="004E65B5" w:rsidRDefault="004E65B5" w:rsidP="00E6416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60"/>
        <w:ind w:left="283" w:hanging="357"/>
        <w:contextualSpacing w:val="0"/>
        <w:jc w:val="both"/>
        <w:rPr>
          <w:rFonts w:cs="Arial"/>
        </w:rPr>
      </w:pPr>
      <w:r w:rsidRPr="004E65B5">
        <w:rPr>
          <w:rFonts w:cs="Arial"/>
        </w:rPr>
        <w:t>PETROPERÚ aplicará penalidades que serán deducidas de los pagos a cuenta, del pago final, en la liquidación final, o de garantías de fiel cumplimiento del contratista.</w:t>
      </w:r>
    </w:p>
    <w:p w14:paraId="1A0B2100" w14:textId="524B2DC1" w:rsidR="004E65B5" w:rsidRDefault="004E65B5" w:rsidP="00E6416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60"/>
        <w:ind w:left="283" w:hanging="357"/>
        <w:contextualSpacing w:val="0"/>
        <w:jc w:val="both"/>
        <w:rPr>
          <w:rFonts w:cs="Arial"/>
        </w:rPr>
      </w:pPr>
      <w:r w:rsidRPr="004E65B5">
        <w:rPr>
          <w:rFonts w:cs="Arial"/>
        </w:rPr>
        <w:t>En caso un mismo incumplimiento califique para la aplicación de más de una penalidad, se aplicará aquella de mayor monto.</w:t>
      </w:r>
    </w:p>
    <w:p w14:paraId="1E9AF3FE" w14:textId="77777777" w:rsidR="00746C90" w:rsidRDefault="00746C90" w:rsidP="00E6416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60"/>
        <w:ind w:left="283" w:hanging="357"/>
        <w:contextualSpacing w:val="0"/>
        <w:jc w:val="both"/>
        <w:rPr>
          <w:rFonts w:cs="Arial"/>
        </w:rPr>
      </w:pPr>
      <w:r w:rsidRPr="00746C90">
        <w:rPr>
          <w:rFonts w:cs="Arial"/>
        </w:rPr>
        <w:t>Las penalidades se ejecutarán en base a la valorización mensual (monto contractual).</w:t>
      </w:r>
    </w:p>
    <w:p w14:paraId="0BC47D52" w14:textId="77777777" w:rsidR="00746C90" w:rsidRDefault="00746C90" w:rsidP="00E6416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60"/>
        <w:ind w:left="283" w:hanging="357"/>
        <w:contextualSpacing w:val="0"/>
        <w:jc w:val="both"/>
        <w:rPr>
          <w:rFonts w:cs="Arial"/>
        </w:rPr>
      </w:pPr>
      <w:r w:rsidRPr="00746C90">
        <w:rPr>
          <w:rFonts w:cs="Arial"/>
        </w:rPr>
        <w:t xml:space="preserve">El monto máximo de la acumulación de penalidades aplicable por parte de PETROPERÚ en un mes a la </w:t>
      </w:r>
      <w:proofErr w:type="gramStart"/>
      <w:r w:rsidRPr="00746C90">
        <w:rPr>
          <w:rFonts w:cs="Arial"/>
        </w:rPr>
        <w:t>CONTRATISTA,</w:t>
      </w:r>
      <w:proofErr w:type="gramEnd"/>
      <w:r w:rsidRPr="00746C90">
        <w:rPr>
          <w:rFonts w:cs="Arial"/>
        </w:rPr>
        <w:t xml:space="preserve"> será hasta un equivalente del 10% de la valorización mensual. </w:t>
      </w:r>
    </w:p>
    <w:p w14:paraId="6853FCF8" w14:textId="77777777" w:rsidR="00746C90" w:rsidRDefault="00746C90" w:rsidP="00E6416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60"/>
        <w:ind w:left="283" w:hanging="357"/>
        <w:contextualSpacing w:val="0"/>
        <w:jc w:val="both"/>
        <w:rPr>
          <w:rFonts w:cs="Arial"/>
        </w:rPr>
      </w:pPr>
      <w:r w:rsidRPr="00746C90">
        <w:rPr>
          <w:rFonts w:cs="Arial"/>
        </w:rPr>
        <w:t>En caso las penalidades acumulen el 10% del monto contractual total, el administrador de contrato evaluará resolver el contrato; sin perjuicio de ello, aun cuando se decida no resolver el contrato, se seguirán aplicando las penalidades.</w:t>
      </w:r>
    </w:p>
    <w:p w14:paraId="29272AF1" w14:textId="347ADBEE" w:rsidR="00746C90" w:rsidRPr="004E65B5" w:rsidRDefault="00746C90" w:rsidP="000F4B89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/>
        <w:ind w:left="283" w:hanging="357"/>
        <w:contextualSpacing w:val="0"/>
        <w:jc w:val="both"/>
        <w:rPr>
          <w:rFonts w:cs="Arial"/>
        </w:rPr>
      </w:pPr>
      <w:r w:rsidRPr="00746C90">
        <w:rPr>
          <w:rFonts w:cs="Arial"/>
        </w:rPr>
        <w:t xml:space="preserve">El listado de </w:t>
      </w:r>
      <w:r w:rsidRPr="00746C90">
        <w:rPr>
          <w:rFonts w:cs="Arial"/>
          <w:b/>
          <w:bCs/>
        </w:rPr>
        <w:t>penalidades mínimas obligatorias</w:t>
      </w:r>
      <w:r w:rsidRPr="00746C90">
        <w:rPr>
          <w:rFonts w:cs="Arial"/>
        </w:rPr>
        <w:t xml:space="preserve"> para los nuevos contratos de servicios y obras es el siguiente:</w:t>
      </w:r>
    </w:p>
    <w:tbl>
      <w:tblPr>
        <w:tblStyle w:val="Tablaconcuadrcula"/>
        <w:tblW w:w="9493" w:type="dxa"/>
        <w:tblLayout w:type="fixed"/>
        <w:tblLook w:val="04A0" w:firstRow="1" w:lastRow="0" w:firstColumn="1" w:lastColumn="0" w:noHBand="0" w:noVBand="1"/>
      </w:tblPr>
      <w:tblGrid>
        <w:gridCol w:w="417"/>
        <w:gridCol w:w="5674"/>
        <w:gridCol w:w="1275"/>
        <w:gridCol w:w="993"/>
        <w:gridCol w:w="1134"/>
      </w:tblGrid>
      <w:tr w:rsidR="00AC21CC" w:rsidRPr="00E64165" w14:paraId="714E5844" w14:textId="77777777" w:rsidTr="00E64165">
        <w:trPr>
          <w:trHeight w:val="127"/>
          <w:tblHeader/>
        </w:trPr>
        <w:tc>
          <w:tcPr>
            <w:tcW w:w="6091" w:type="dxa"/>
            <w:gridSpan w:val="2"/>
            <w:shd w:val="clear" w:color="auto" w:fill="B4C6E7" w:themeFill="accent1" w:themeFillTint="66"/>
            <w:vAlign w:val="center"/>
          </w:tcPr>
          <w:p w14:paraId="31FE2AA0" w14:textId="1B8E5624" w:rsidR="009E1816" w:rsidRPr="00E64165" w:rsidRDefault="004E65B5" w:rsidP="00AC21CC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b/>
                <w:sz w:val="16"/>
                <w:szCs w:val="16"/>
              </w:rPr>
              <w:t>DESCRIPCIÓN DEL EVENTO A PENALIZAR</w:t>
            </w:r>
          </w:p>
        </w:tc>
        <w:tc>
          <w:tcPr>
            <w:tcW w:w="1275" w:type="dxa"/>
            <w:shd w:val="clear" w:color="auto" w:fill="B4C6E7" w:themeFill="accent1" w:themeFillTint="66"/>
            <w:vAlign w:val="center"/>
          </w:tcPr>
          <w:p w14:paraId="7EB5FE35" w14:textId="77777777" w:rsidR="009E1816" w:rsidRPr="00E64165" w:rsidRDefault="00000000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b/>
                <w:sz w:val="16"/>
                <w:szCs w:val="16"/>
              </w:rPr>
              <w:t>Requerimiento Legal Relacionado</w:t>
            </w:r>
          </w:p>
        </w:tc>
        <w:tc>
          <w:tcPr>
            <w:tcW w:w="993" w:type="dxa"/>
            <w:shd w:val="clear" w:color="auto" w:fill="B4C6E7" w:themeFill="accent1" w:themeFillTint="66"/>
            <w:vAlign w:val="center"/>
          </w:tcPr>
          <w:p w14:paraId="26E63F67" w14:textId="77777777" w:rsidR="009E1816" w:rsidRPr="00E64165" w:rsidRDefault="00000000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b/>
                <w:sz w:val="16"/>
                <w:szCs w:val="16"/>
              </w:rPr>
              <w:t>Aplicación de Penalidad*</w:t>
            </w:r>
          </w:p>
        </w:tc>
        <w:tc>
          <w:tcPr>
            <w:tcW w:w="1134" w:type="dxa"/>
            <w:shd w:val="clear" w:color="auto" w:fill="B4C6E7" w:themeFill="accent1" w:themeFillTint="66"/>
            <w:vAlign w:val="center"/>
          </w:tcPr>
          <w:p w14:paraId="6A1B078A" w14:textId="77777777" w:rsidR="009E1816" w:rsidRPr="00E64165" w:rsidRDefault="00000000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b/>
                <w:sz w:val="16"/>
                <w:szCs w:val="16"/>
              </w:rPr>
              <w:t>Penalidad</w:t>
            </w:r>
          </w:p>
          <w:p w14:paraId="29FD3105" w14:textId="77777777" w:rsidR="009E1816" w:rsidRPr="00E64165" w:rsidRDefault="00000000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b/>
                <w:sz w:val="16"/>
                <w:szCs w:val="16"/>
              </w:rPr>
              <w:t>(% del monto contractual, incluye impuestos)</w:t>
            </w:r>
          </w:p>
        </w:tc>
      </w:tr>
      <w:tr w:rsidR="00AC21CC" w:rsidRPr="00E64165" w14:paraId="25E33057" w14:textId="77777777" w:rsidTr="00E64165">
        <w:trPr>
          <w:trHeight w:val="631"/>
        </w:trPr>
        <w:tc>
          <w:tcPr>
            <w:tcW w:w="417" w:type="dxa"/>
            <w:shd w:val="clear" w:color="auto" w:fill="FFFF00"/>
            <w:vAlign w:val="center"/>
          </w:tcPr>
          <w:p w14:paraId="659D2588" w14:textId="77777777" w:rsidR="009E1816" w:rsidRPr="00E64165" w:rsidRDefault="00000000" w:rsidP="00E6416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674" w:type="dxa"/>
            <w:vAlign w:val="center"/>
          </w:tcPr>
          <w:p w14:paraId="58B5C3EC" w14:textId="77777777" w:rsidR="009E1816" w:rsidRPr="00E64165" w:rsidRDefault="00000000" w:rsidP="004E65B5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Incumplir alguna medida de seguridad y salud ocupacional contemplada en el “Manual Corporativo de Seguridad, Salud y Protección Ambiental para Contratistas de PETROPERÚ”, que como consecuencia origine alguno de los siguientes eventos, según determine el proceso de investigación a cargo de PETROPERÚ:</w:t>
            </w:r>
          </w:p>
          <w:p w14:paraId="502A15B1" w14:textId="05C56987" w:rsidR="009E1816" w:rsidRPr="00E64165" w:rsidRDefault="00000000" w:rsidP="00AC21CC">
            <w:pPr>
              <w:pStyle w:val="Prrafodelista"/>
              <w:numPr>
                <w:ilvl w:val="0"/>
                <w:numId w:val="2"/>
              </w:numPr>
              <w:ind w:left="178" w:hanging="178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b/>
                <w:sz w:val="18"/>
                <w:szCs w:val="18"/>
              </w:rPr>
              <w:t>Accidente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mortal o Accidente incapacitante total o parcial permanente …………</w:t>
            </w:r>
          </w:p>
          <w:p w14:paraId="798F02C9" w14:textId="74192DA3" w:rsidR="009E1816" w:rsidRPr="00E64165" w:rsidRDefault="00000000" w:rsidP="00AC21CC">
            <w:pPr>
              <w:pStyle w:val="Prrafodelista"/>
              <w:numPr>
                <w:ilvl w:val="0"/>
                <w:numId w:val="2"/>
              </w:numPr>
              <w:ind w:left="178" w:hanging="178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Accidente incapacitante temporal (por ocurrencia) ………………....</w:t>
            </w:r>
            <w:r w:rsidR="00E64165" w:rsidRPr="00E64165">
              <w:rPr>
                <w:rFonts w:ascii="Arial Narrow" w:hAnsi="Arial Narrow" w:cs="Arial"/>
                <w:sz w:val="18"/>
                <w:szCs w:val="18"/>
              </w:rPr>
              <w:t>......................</w:t>
            </w:r>
          </w:p>
          <w:p w14:paraId="7E6AD0E7" w14:textId="7634E5CF" w:rsidR="009E1816" w:rsidRPr="00E64165" w:rsidRDefault="00000000" w:rsidP="00AC21CC">
            <w:pPr>
              <w:pStyle w:val="Prrafodelista"/>
              <w:numPr>
                <w:ilvl w:val="0"/>
                <w:numId w:val="2"/>
              </w:numPr>
              <w:ind w:left="178" w:hanging="178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Incidente peligroso, ……………………………………………</w:t>
            </w:r>
            <w:r w:rsidR="00E64165" w:rsidRPr="00E64165">
              <w:rPr>
                <w:rFonts w:ascii="Arial Narrow" w:hAnsi="Arial Narrow" w:cs="Arial"/>
                <w:sz w:val="18"/>
                <w:szCs w:val="18"/>
              </w:rPr>
              <w:t>………………</w:t>
            </w:r>
            <w:r w:rsidR="00E64165">
              <w:rPr>
                <w:rFonts w:ascii="Arial Narrow" w:hAnsi="Arial Narrow" w:cs="Arial"/>
                <w:sz w:val="18"/>
                <w:szCs w:val="18"/>
              </w:rPr>
              <w:t>……...</w:t>
            </w:r>
            <w:r w:rsidR="00E64165" w:rsidRPr="00E64165">
              <w:rPr>
                <w:rFonts w:ascii="Arial Narrow" w:hAnsi="Arial Narrow" w:cs="Arial"/>
                <w:sz w:val="18"/>
                <w:szCs w:val="18"/>
              </w:rPr>
              <w:t>…</w:t>
            </w:r>
          </w:p>
          <w:p w14:paraId="62DD1FBB" w14:textId="5A20AE38" w:rsidR="009E1816" w:rsidRPr="00E64165" w:rsidRDefault="00000000" w:rsidP="00AC21CC">
            <w:pPr>
              <w:pStyle w:val="Prrafodelista"/>
              <w:numPr>
                <w:ilvl w:val="0"/>
                <w:numId w:val="2"/>
              </w:numPr>
              <w:ind w:left="178" w:hanging="178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Accidente leve (sólo si la compañía registra anteriormente por lo menos 2 accidentes leves o 1 incapacitante en el contrato vigente) …………………</w:t>
            </w:r>
            <w:proofErr w:type="gramStart"/>
            <w:r w:rsidR="00E64165">
              <w:rPr>
                <w:rFonts w:ascii="Arial Narrow" w:hAnsi="Arial Narrow" w:cs="Arial"/>
                <w:sz w:val="18"/>
                <w:szCs w:val="18"/>
              </w:rPr>
              <w:t>…….</w:t>
            </w:r>
            <w:proofErr w:type="gramEnd"/>
            <w:r w:rsidR="00E64165">
              <w:rPr>
                <w:rFonts w:ascii="Arial Narrow" w:hAnsi="Arial Narrow" w:cs="Arial"/>
                <w:sz w:val="18"/>
                <w:szCs w:val="18"/>
              </w:rPr>
              <w:t>.</w:t>
            </w:r>
          </w:p>
          <w:p w14:paraId="581745D7" w14:textId="77777777" w:rsidR="009E1816" w:rsidRPr="00E64165" w:rsidRDefault="00000000" w:rsidP="004E65B5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El contratista tendrá cinco días hábiles para presentar sus descargos a los resultados de la investigación de PETROPERÚ, pudiendo ser ampliados en caso lo justifique mediante carta al Administrador de Contrato.</w:t>
            </w:r>
          </w:p>
          <w:p w14:paraId="0FDF1B15" w14:textId="77777777" w:rsidR="009E1816" w:rsidRPr="00E64165" w:rsidRDefault="00000000" w:rsidP="004E65B5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Es preciso indicar que en el caso de un accidente mortal o accidente incapacitante total o parcial permanente, PETROPERÚ evaluará la continuidad del contrato de la compañía contratista. Si se decide resolver el contrato, no le aplicará la penalidad.</w:t>
            </w:r>
          </w:p>
        </w:tc>
        <w:tc>
          <w:tcPr>
            <w:tcW w:w="1275" w:type="dxa"/>
            <w:vAlign w:val="center"/>
          </w:tcPr>
          <w:p w14:paraId="7D1E9D29" w14:textId="77777777" w:rsidR="009E1816" w:rsidRPr="00E64165" w:rsidRDefault="0000000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Ley 29783 Art. 21°</w:t>
            </w:r>
          </w:p>
        </w:tc>
        <w:tc>
          <w:tcPr>
            <w:tcW w:w="993" w:type="dxa"/>
            <w:vAlign w:val="center"/>
          </w:tcPr>
          <w:p w14:paraId="1A80385D" w14:textId="77777777" w:rsidR="009E1816" w:rsidRPr="00E64165" w:rsidRDefault="0000000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 xml:space="preserve">Por evento </w:t>
            </w:r>
          </w:p>
        </w:tc>
        <w:tc>
          <w:tcPr>
            <w:tcW w:w="1134" w:type="dxa"/>
          </w:tcPr>
          <w:p w14:paraId="43FF1509" w14:textId="77777777" w:rsidR="009E1816" w:rsidRPr="00E64165" w:rsidRDefault="009E181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14:paraId="2BD6DE86" w14:textId="77777777" w:rsidR="009E1816" w:rsidRPr="00E64165" w:rsidRDefault="009E181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14:paraId="6D2395DD" w14:textId="77777777" w:rsidR="009E1816" w:rsidRPr="00E64165" w:rsidRDefault="009E181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14:paraId="093941AA" w14:textId="77777777" w:rsidR="009E1816" w:rsidRPr="00E64165" w:rsidRDefault="009E181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14:paraId="7498CC54" w14:textId="77777777" w:rsidR="009E1816" w:rsidRPr="00E64165" w:rsidRDefault="0000000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…5%</w:t>
            </w:r>
          </w:p>
          <w:p w14:paraId="24E3ADD9" w14:textId="77777777" w:rsidR="009E1816" w:rsidRPr="00E64165" w:rsidRDefault="0000000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…2%</w:t>
            </w:r>
          </w:p>
          <w:p w14:paraId="4D913712" w14:textId="77777777" w:rsidR="009E1816" w:rsidRPr="00E64165" w:rsidRDefault="0000000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…1%</w:t>
            </w:r>
          </w:p>
          <w:p w14:paraId="56FA9431" w14:textId="77777777" w:rsidR="009E1816" w:rsidRPr="00E64165" w:rsidRDefault="009E181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14:paraId="6613EFCB" w14:textId="77777777" w:rsidR="009E1816" w:rsidRPr="00E64165" w:rsidRDefault="0000000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…1%</w:t>
            </w:r>
          </w:p>
        </w:tc>
      </w:tr>
      <w:tr w:rsidR="00AC21CC" w:rsidRPr="00E64165" w14:paraId="4D909C55" w14:textId="77777777" w:rsidTr="00E64165">
        <w:trPr>
          <w:trHeight w:val="136"/>
        </w:trPr>
        <w:tc>
          <w:tcPr>
            <w:tcW w:w="417" w:type="dxa"/>
            <w:shd w:val="clear" w:color="auto" w:fill="FFFF00"/>
            <w:vAlign w:val="center"/>
          </w:tcPr>
          <w:p w14:paraId="17C23B2C" w14:textId="77777777" w:rsidR="009E1816" w:rsidRPr="00E64165" w:rsidRDefault="00000000" w:rsidP="00E6416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5674" w:type="dxa"/>
            <w:vAlign w:val="center"/>
          </w:tcPr>
          <w:p w14:paraId="1164B7FE" w14:textId="31A43779" w:rsidR="009E1816" w:rsidRPr="00E64165" w:rsidRDefault="00746C90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b/>
                <w:sz w:val="18"/>
                <w:szCs w:val="18"/>
              </w:rPr>
              <w:t>No informar de inmediato y/</w:t>
            </w:r>
            <w:proofErr w:type="spellStart"/>
            <w:r w:rsidRPr="00E64165">
              <w:rPr>
                <w:rFonts w:ascii="Arial Narrow" w:hAnsi="Arial Narrow" w:cs="Arial"/>
                <w:b/>
                <w:sz w:val="18"/>
                <w:szCs w:val="18"/>
              </w:rPr>
              <w:t>o</w:t>
            </w:r>
            <w:proofErr w:type="spellEnd"/>
            <w:r w:rsidRPr="00E64165">
              <w:rPr>
                <w:rFonts w:ascii="Arial Narrow" w:hAnsi="Arial Narrow" w:cs="Arial"/>
                <w:b/>
                <w:sz w:val="18"/>
                <w:szCs w:val="18"/>
              </w:rPr>
              <w:t xml:space="preserve"> ocultar </w:t>
            </w:r>
            <w:r w:rsidRPr="00E64165">
              <w:rPr>
                <w:rFonts w:ascii="Arial Narrow" w:hAnsi="Arial Narrow" w:cs="Arial"/>
                <w:bCs/>
                <w:sz w:val="18"/>
                <w:szCs w:val="18"/>
              </w:rPr>
              <w:t>a PETROPERÚ cualquier incidente o accidente de trabajo.</w:t>
            </w:r>
          </w:p>
        </w:tc>
        <w:tc>
          <w:tcPr>
            <w:tcW w:w="1275" w:type="dxa"/>
            <w:vAlign w:val="center"/>
          </w:tcPr>
          <w:p w14:paraId="5FF336CE" w14:textId="77777777" w:rsidR="009E1816" w:rsidRPr="00E64165" w:rsidRDefault="00000000">
            <w:pPr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  <w:lang w:val="en-US"/>
              </w:rPr>
              <w:t>RCD 172-2009-OS/CD Art. 6°</w:t>
            </w:r>
          </w:p>
          <w:p w14:paraId="108A6B22" w14:textId="77777777" w:rsidR="009E1816" w:rsidRPr="00E64165" w:rsidRDefault="00000000">
            <w:pPr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  <w:lang w:val="en-US"/>
              </w:rPr>
              <w:t>DS 005-2012-TR Art. 110°</w:t>
            </w:r>
          </w:p>
        </w:tc>
        <w:tc>
          <w:tcPr>
            <w:tcW w:w="993" w:type="dxa"/>
            <w:vAlign w:val="center"/>
          </w:tcPr>
          <w:p w14:paraId="293CB937" w14:textId="77777777" w:rsidR="009E1816" w:rsidRPr="00E64165" w:rsidRDefault="0000000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199A3FDC" w14:textId="4BDD1CF0" w:rsidR="009E1816" w:rsidRPr="00E64165" w:rsidRDefault="00746C9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2%</w:t>
            </w:r>
          </w:p>
        </w:tc>
      </w:tr>
      <w:tr w:rsidR="00AC21CC" w:rsidRPr="00E64165" w14:paraId="62B56CEF" w14:textId="77777777" w:rsidTr="00E64165">
        <w:trPr>
          <w:trHeight w:val="92"/>
        </w:trPr>
        <w:tc>
          <w:tcPr>
            <w:tcW w:w="417" w:type="dxa"/>
            <w:shd w:val="clear" w:color="auto" w:fill="FFFF00"/>
            <w:vAlign w:val="center"/>
          </w:tcPr>
          <w:p w14:paraId="3FCA58AC" w14:textId="77777777" w:rsidR="009E1816" w:rsidRPr="00E64165" w:rsidRDefault="00000000" w:rsidP="00E6416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5674" w:type="dxa"/>
            <w:vAlign w:val="center"/>
          </w:tcPr>
          <w:p w14:paraId="50B8989F" w14:textId="1F791D54" w:rsidR="009E1816" w:rsidRPr="00E64165" w:rsidRDefault="00746C90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No realizar los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exámenes médicos ocupacionales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(</w:t>
            </w:r>
            <w:proofErr w:type="spellStart"/>
            <w:r w:rsidRPr="00E64165">
              <w:rPr>
                <w:rFonts w:ascii="Arial Narrow" w:hAnsi="Arial Narrow" w:cs="Arial"/>
                <w:sz w:val="18"/>
                <w:szCs w:val="18"/>
              </w:rPr>
              <w:t>pre-ocupacional</w:t>
            </w:r>
            <w:proofErr w:type="spellEnd"/>
            <w:r w:rsidRPr="00E64165">
              <w:rPr>
                <w:rFonts w:ascii="Arial Narrow" w:hAnsi="Arial Narrow" w:cs="Arial"/>
                <w:sz w:val="18"/>
                <w:szCs w:val="18"/>
              </w:rPr>
              <w:t>, periódicos y/o de retiro) del personal a su cargo, de acuerdo con la normativa legal y los riesgos de su actividad.</w:t>
            </w:r>
          </w:p>
        </w:tc>
        <w:tc>
          <w:tcPr>
            <w:tcW w:w="1275" w:type="dxa"/>
            <w:vAlign w:val="center"/>
          </w:tcPr>
          <w:p w14:paraId="54C3F94E" w14:textId="77777777" w:rsidR="009E1816" w:rsidRPr="00E64165" w:rsidRDefault="0000000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Ley 29783 Art. 49° d</w:t>
            </w:r>
          </w:p>
        </w:tc>
        <w:tc>
          <w:tcPr>
            <w:tcW w:w="993" w:type="dxa"/>
            <w:vAlign w:val="center"/>
          </w:tcPr>
          <w:p w14:paraId="7D40149A" w14:textId="77777777" w:rsidR="009E1816" w:rsidRPr="00E64165" w:rsidRDefault="0000000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1E634E09" w14:textId="77777777" w:rsidR="009E1816" w:rsidRPr="00E64165" w:rsidRDefault="0000000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1%</w:t>
            </w:r>
          </w:p>
        </w:tc>
      </w:tr>
      <w:tr w:rsidR="00AC21CC" w:rsidRPr="00E64165" w14:paraId="526B5FE5" w14:textId="77777777" w:rsidTr="00E64165">
        <w:trPr>
          <w:trHeight w:val="92"/>
        </w:trPr>
        <w:tc>
          <w:tcPr>
            <w:tcW w:w="417" w:type="dxa"/>
            <w:shd w:val="clear" w:color="auto" w:fill="FFFF00"/>
            <w:vAlign w:val="center"/>
          </w:tcPr>
          <w:p w14:paraId="222BE91C" w14:textId="39187885" w:rsidR="00746C90" w:rsidRPr="00E64165" w:rsidRDefault="00746C90" w:rsidP="00E6416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5674" w:type="dxa"/>
            <w:vAlign w:val="center"/>
          </w:tcPr>
          <w:p w14:paraId="099AA494" w14:textId="30967E7E" w:rsidR="00746C90" w:rsidRPr="00E64165" w:rsidRDefault="00746C90" w:rsidP="00746C90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No contar con los supervisores CASS en la operación, de acuerdo con el perfil y nivel de riesgo establecido en las Condiciones Técnicas.</w:t>
            </w:r>
          </w:p>
        </w:tc>
        <w:tc>
          <w:tcPr>
            <w:tcW w:w="1275" w:type="dxa"/>
            <w:vAlign w:val="center"/>
          </w:tcPr>
          <w:p w14:paraId="0CA8673C" w14:textId="79E4573F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 xml:space="preserve">DS 043-2007EM Art. 11.2° DS 005-2012-TR Art. </w:t>
            </w:r>
            <w:r w:rsidRPr="00E64165">
              <w:rPr>
                <w:rFonts w:ascii="Arial Narrow" w:hAnsi="Arial Narrow" w:cs="Arial"/>
                <w:sz w:val="16"/>
                <w:szCs w:val="16"/>
              </w:rPr>
              <w:lastRenderedPageBreak/>
              <w:t>39° RM 448-2020MINSA</w:t>
            </w:r>
          </w:p>
        </w:tc>
        <w:tc>
          <w:tcPr>
            <w:tcW w:w="993" w:type="dxa"/>
            <w:vAlign w:val="center"/>
          </w:tcPr>
          <w:p w14:paraId="338D1561" w14:textId="4224A9C9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lastRenderedPageBreak/>
              <w:t>Por evento</w:t>
            </w:r>
          </w:p>
        </w:tc>
        <w:tc>
          <w:tcPr>
            <w:tcW w:w="1134" w:type="dxa"/>
            <w:vAlign w:val="center"/>
          </w:tcPr>
          <w:p w14:paraId="467A0700" w14:textId="56C4C6F4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1%</w:t>
            </w:r>
          </w:p>
        </w:tc>
      </w:tr>
      <w:tr w:rsidR="00AC21CC" w:rsidRPr="00E64165" w14:paraId="5C5F71DC" w14:textId="77777777" w:rsidTr="00E64165">
        <w:trPr>
          <w:trHeight w:val="92"/>
        </w:trPr>
        <w:tc>
          <w:tcPr>
            <w:tcW w:w="417" w:type="dxa"/>
            <w:shd w:val="clear" w:color="auto" w:fill="FFFF00"/>
            <w:vAlign w:val="center"/>
          </w:tcPr>
          <w:p w14:paraId="0DF4C2D4" w14:textId="7AD46A7E" w:rsidR="00746C90" w:rsidRPr="00E64165" w:rsidRDefault="00746C90" w:rsidP="00E6416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5674" w:type="dxa"/>
            <w:vAlign w:val="center"/>
          </w:tcPr>
          <w:p w14:paraId="01E2F27F" w14:textId="46D20DCE" w:rsidR="00746C90" w:rsidRPr="00E64165" w:rsidRDefault="00746C90" w:rsidP="00746C90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Realizar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trabajos no autorizados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por PETROPERÚ, no contemplados en el Permiso de Trabajo, o emplear personal que trabaja para otra compañía contratista o servicio diferente.  </w:t>
            </w:r>
          </w:p>
        </w:tc>
        <w:tc>
          <w:tcPr>
            <w:tcW w:w="1275" w:type="dxa"/>
            <w:vAlign w:val="center"/>
          </w:tcPr>
          <w:p w14:paraId="7A7D9D71" w14:textId="304F3FB9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DS 043-2007EM Art. 61°</w:t>
            </w:r>
          </w:p>
        </w:tc>
        <w:tc>
          <w:tcPr>
            <w:tcW w:w="993" w:type="dxa"/>
            <w:vAlign w:val="center"/>
          </w:tcPr>
          <w:p w14:paraId="400DF7CE" w14:textId="74B69852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72E87F10" w14:textId="7456982A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1%</w:t>
            </w:r>
          </w:p>
        </w:tc>
      </w:tr>
      <w:tr w:rsidR="00AC21CC" w:rsidRPr="00E64165" w14:paraId="188D86EB" w14:textId="77777777" w:rsidTr="00E64165">
        <w:trPr>
          <w:trHeight w:val="92"/>
        </w:trPr>
        <w:tc>
          <w:tcPr>
            <w:tcW w:w="417" w:type="dxa"/>
            <w:shd w:val="clear" w:color="auto" w:fill="FFFF00"/>
            <w:vAlign w:val="center"/>
          </w:tcPr>
          <w:p w14:paraId="66A88177" w14:textId="652DBE3C" w:rsidR="00746C90" w:rsidRPr="00E64165" w:rsidRDefault="00746C90" w:rsidP="00E6416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6</w:t>
            </w:r>
          </w:p>
        </w:tc>
        <w:tc>
          <w:tcPr>
            <w:tcW w:w="5674" w:type="dxa"/>
            <w:vAlign w:val="center"/>
          </w:tcPr>
          <w:p w14:paraId="697BA013" w14:textId="6D95843F" w:rsidR="00746C90" w:rsidRPr="00E64165" w:rsidRDefault="00746C90" w:rsidP="00746C90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Intento de ingresar o haber ingresado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de manera oculta armas, equipos no intrínsecos (teléfono celular, cámara fotográfica) o sustancias prohibidas (drogas, alcohol), dentro de las instalaciones de PETROPERÚ.</w:t>
            </w:r>
          </w:p>
        </w:tc>
        <w:tc>
          <w:tcPr>
            <w:tcW w:w="1275" w:type="dxa"/>
            <w:vAlign w:val="center"/>
          </w:tcPr>
          <w:p w14:paraId="46B8DDAE" w14:textId="4A1ABFCC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DS 043-2007EM Art. 17.1° RAD 044-2017APN-DIR</w:t>
            </w:r>
          </w:p>
        </w:tc>
        <w:tc>
          <w:tcPr>
            <w:tcW w:w="993" w:type="dxa"/>
            <w:vAlign w:val="center"/>
          </w:tcPr>
          <w:p w14:paraId="3D1D41D0" w14:textId="5AC08265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2672AE18" w14:textId="72029166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1%</w:t>
            </w:r>
          </w:p>
        </w:tc>
      </w:tr>
      <w:tr w:rsidR="00AC21CC" w:rsidRPr="00E64165" w14:paraId="01BFFD92" w14:textId="77777777" w:rsidTr="00E64165">
        <w:trPr>
          <w:trHeight w:val="92"/>
        </w:trPr>
        <w:tc>
          <w:tcPr>
            <w:tcW w:w="417" w:type="dxa"/>
            <w:shd w:val="clear" w:color="auto" w:fill="FFFF00"/>
            <w:vAlign w:val="center"/>
          </w:tcPr>
          <w:p w14:paraId="5182A8DC" w14:textId="26E80161" w:rsidR="00746C90" w:rsidRPr="00E64165" w:rsidRDefault="00746C90" w:rsidP="00E6416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5674" w:type="dxa"/>
            <w:vAlign w:val="center"/>
          </w:tcPr>
          <w:p w14:paraId="1C94D7AA" w14:textId="47E97556" w:rsidR="00746C90" w:rsidRPr="00E64165" w:rsidRDefault="00746C90" w:rsidP="00746C90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Incumplir algún control establecido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en la matriz de Identificación de Peligros, Evaluación de Riesgos y Determinación de Controles (IPERC), en el Permiso de Trabajo, en el Análisis de Trabajo Seguro o en la matriz ambiental.</w:t>
            </w:r>
          </w:p>
        </w:tc>
        <w:tc>
          <w:tcPr>
            <w:tcW w:w="1275" w:type="dxa"/>
            <w:vAlign w:val="center"/>
          </w:tcPr>
          <w:p w14:paraId="15226323" w14:textId="7B0E6C2F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Ley 29783 Art. 21°</w:t>
            </w:r>
          </w:p>
        </w:tc>
        <w:tc>
          <w:tcPr>
            <w:tcW w:w="993" w:type="dxa"/>
            <w:vAlign w:val="center"/>
          </w:tcPr>
          <w:p w14:paraId="6341E90A" w14:textId="1E6899B4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72960EBA" w14:textId="77C5A680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0.6%</w:t>
            </w:r>
          </w:p>
        </w:tc>
      </w:tr>
      <w:tr w:rsidR="00AC21CC" w:rsidRPr="00E64165" w14:paraId="68BDEFAA" w14:textId="77777777" w:rsidTr="00E64165">
        <w:trPr>
          <w:trHeight w:val="92"/>
        </w:trPr>
        <w:tc>
          <w:tcPr>
            <w:tcW w:w="417" w:type="dxa"/>
            <w:shd w:val="clear" w:color="auto" w:fill="FFFF00"/>
            <w:vAlign w:val="center"/>
          </w:tcPr>
          <w:p w14:paraId="047C49AD" w14:textId="2D89AA33" w:rsidR="00746C90" w:rsidRPr="00E64165" w:rsidRDefault="00746C90" w:rsidP="00E6416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8</w:t>
            </w:r>
          </w:p>
        </w:tc>
        <w:tc>
          <w:tcPr>
            <w:tcW w:w="5674" w:type="dxa"/>
            <w:vAlign w:val="center"/>
          </w:tcPr>
          <w:p w14:paraId="2F232121" w14:textId="0E4557FE" w:rsidR="00746C90" w:rsidRPr="00E64165" w:rsidRDefault="00746C90" w:rsidP="00746C90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No devolver a PETROPERÚ los pases de ingreso vencidos o de aquel personal que ya no cuenta con vínculo laboral o autorización para ingresar a las instalaciones.</w:t>
            </w:r>
          </w:p>
        </w:tc>
        <w:tc>
          <w:tcPr>
            <w:tcW w:w="1275" w:type="dxa"/>
            <w:vAlign w:val="center"/>
          </w:tcPr>
          <w:p w14:paraId="71BABA10" w14:textId="49DF31EC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RAD 044-2017APN-DIR</w:t>
            </w:r>
          </w:p>
        </w:tc>
        <w:tc>
          <w:tcPr>
            <w:tcW w:w="993" w:type="dxa"/>
            <w:vAlign w:val="center"/>
          </w:tcPr>
          <w:p w14:paraId="2380F82B" w14:textId="55616795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25BD42F1" w14:textId="0609034E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0.3%</w:t>
            </w:r>
          </w:p>
        </w:tc>
      </w:tr>
      <w:tr w:rsidR="00AC21CC" w:rsidRPr="00E64165" w14:paraId="7F72816D" w14:textId="77777777" w:rsidTr="00E64165">
        <w:trPr>
          <w:trHeight w:val="340"/>
        </w:trPr>
        <w:tc>
          <w:tcPr>
            <w:tcW w:w="417" w:type="dxa"/>
            <w:shd w:val="clear" w:color="auto" w:fill="FFFF00"/>
            <w:vAlign w:val="center"/>
          </w:tcPr>
          <w:p w14:paraId="32DE015A" w14:textId="155336B4" w:rsidR="00746C90" w:rsidRPr="00E64165" w:rsidRDefault="00746C90" w:rsidP="00E6416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9</w:t>
            </w:r>
          </w:p>
        </w:tc>
        <w:tc>
          <w:tcPr>
            <w:tcW w:w="5674" w:type="dxa"/>
            <w:vAlign w:val="center"/>
          </w:tcPr>
          <w:p w14:paraId="09E69D95" w14:textId="02284EB5" w:rsidR="00746C90" w:rsidRPr="00E64165" w:rsidRDefault="00746C90" w:rsidP="00746C90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Adulteración de documentos y/o documentación vencida.</w:t>
            </w:r>
          </w:p>
        </w:tc>
        <w:tc>
          <w:tcPr>
            <w:tcW w:w="1275" w:type="dxa"/>
            <w:vAlign w:val="center"/>
          </w:tcPr>
          <w:p w14:paraId="6F382655" w14:textId="77777777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823767A" w14:textId="524877CA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6384F9DD" w14:textId="51DC8954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0.3%</w:t>
            </w:r>
          </w:p>
        </w:tc>
      </w:tr>
      <w:tr w:rsidR="00AC21CC" w:rsidRPr="00E64165" w14:paraId="54F49A6E" w14:textId="77777777" w:rsidTr="00E64165">
        <w:trPr>
          <w:trHeight w:val="340"/>
        </w:trPr>
        <w:tc>
          <w:tcPr>
            <w:tcW w:w="417" w:type="dxa"/>
            <w:shd w:val="clear" w:color="auto" w:fill="FFFF00"/>
            <w:vAlign w:val="center"/>
          </w:tcPr>
          <w:p w14:paraId="19E1F19A" w14:textId="555E20C8" w:rsidR="00746C90" w:rsidRPr="00E64165" w:rsidRDefault="00746C90" w:rsidP="00E6416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10</w:t>
            </w:r>
          </w:p>
        </w:tc>
        <w:tc>
          <w:tcPr>
            <w:tcW w:w="5674" w:type="dxa"/>
            <w:vAlign w:val="center"/>
          </w:tcPr>
          <w:p w14:paraId="0BFE521A" w14:textId="480B868C" w:rsidR="00746C90" w:rsidRPr="00E64165" w:rsidRDefault="00746C90" w:rsidP="00746C90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Acto doloso (hurto de cualquier tipo, soborno, complicidad u otro).</w:t>
            </w:r>
          </w:p>
        </w:tc>
        <w:tc>
          <w:tcPr>
            <w:tcW w:w="1275" w:type="dxa"/>
            <w:vAlign w:val="center"/>
          </w:tcPr>
          <w:p w14:paraId="36A068EB" w14:textId="77777777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2E5BF0F" w14:textId="0359A92B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02DF8B6E" w14:textId="318BC980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1%</w:t>
            </w:r>
          </w:p>
        </w:tc>
      </w:tr>
      <w:tr w:rsidR="00AC21CC" w:rsidRPr="00E64165" w14:paraId="43A9D769" w14:textId="77777777" w:rsidTr="00E64165">
        <w:trPr>
          <w:trHeight w:val="92"/>
        </w:trPr>
        <w:tc>
          <w:tcPr>
            <w:tcW w:w="417" w:type="dxa"/>
            <w:shd w:val="clear" w:color="auto" w:fill="FFFF00"/>
            <w:vAlign w:val="center"/>
          </w:tcPr>
          <w:p w14:paraId="3B98BA70" w14:textId="3BE526D7" w:rsidR="00746C90" w:rsidRPr="00E64165" w:rsidRDefault="00746C90" w:rsidP="00E6416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11</w:t>
            </w:r>
          </w:p>
        </w:tc>
        <w:tc>
          <w:tcPr>
            <w:tcW w:w="5674" w:type="dxa"/>
            <w:vAlign w:val="center"/>
          </w:tcPr>
          <w:p w14:paraId="6D3537AC" w14:textId="093DEE54" w:rsidR="00746C90" w:rsidRPr="00E64165" w:rsidRDefault="00746C90" w:rsidP="00746C90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Ingreso o intento de ingreso a las Instalaciones en estado etílico, bajo efectos de drogas o estupefacientes y/o injerirlos dentro de las instalaciones, asimismo, el negarse a pasar los controles de verificación respectivos.</w:t>
            </w:r>
          </w:p>
        </w:tc>
        <w:tc>
          <w:tcPr>
            <w:tcW w:w="1275" w:type="dxa"/>
            <w:vAlign w:val="center"/>
          </w:tcPr>
          <w:p w14:paraId="2DA5AB49" w14:textId="77777777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7A8D547" w14:textId="7CD5443E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330AE2C1" w14:textId="65D2FC33" w:rsidR="00746C90" w:rsidRPr="00E64165" w:rsidRDefault="00746C90" w:rsidP="00746C90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0.3%</w:t>
            </w:r>
          </w:p>
        </w:tc>
      </w:tr>
      <w:tr w:rsidR="00AC21CC" w:rsidRPr="00E64165" w14:paraId="042146C2" w14:textId="77777777" w:rsidTr="00E64165">
        <w:trPr>
          <w:trHeight w:val="92"/>
        </w:trPr>
        <w:tc>
          <w:tcPr>
            <w:tcW w:w="417" w:type="dxa"/>
            <w:vAlign w:val="center"/>
          </w:tcPr>
          <w:p w14:paraId="6329A339" w14:textId="38F14014" w:rsidR="00172D44" w:rsidRPr="00E64165" w:rsidRDefault="00C90653" w:rsidP="00172D44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12</w:t>
            </w:r>
          </w:p>
        </w:tc>
        <w:tc>
          <w:tcPr>
            <w:tcW w:w="5674" w:type="dxa"/>
            <w:vAlign w:val="center"/>
          </w:tcPr>
          <w:p w14:paraId="4F679E8B" w14:textId="42E328D1" w:rsidR="00172D44" w:rsidRPr="00E64165" w:rsidRDefault="00172D44" w:rsidP="00172D44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No asistir a las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reuniones de seguridad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para contratistas programadas por las dependencias de seguridad de la sede de trabajo correspondiente.  </w:t>
            </w:r>
          </w:p>
        </w:tc>
        <w:tc>
          <w:tcPr>
            <w:tcW w:w="1275" w:type="dxa"/>
            <w:vAlign w:val="center"/>
          </w:tcPr>
          <w:p w14:paraId="553A165B" w14:textId="55EDE381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DS 043-2007-EM Art. 17.1°</w:t>
            </w:r>
          </w:p>
        </w:tc>
        <w:tc>
          <w:tcPr>
            <w:tcW w:w="993" w:type="dxa"/>
            <w:vAlign w:val="center"/>
          </w:tcPr>
          <w:p w14:paraId="3078956C" w14:textId="6CA43AE7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1D092D73" w14:textId="5B5DEEC2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0.3%</w:t>
            </w:r>
          </w:p>
        </w:tc>
      </w:tr>
      <w:tr w:rsidR="00AC21CC" w:rsidRPr="00E64165" w14:paraId="328A543D" w14:textId="77777777" w:rsidTr="00E64165">
        <w:trPr>
          <w:trHeight w:val="92"/>
        </w:trPr>
        <w:tc>
          <w:tcPr>
            <w:tcW w:w="417" w:type="dxa"/>
            <w:vAlign w:val="center"/>
          </w:tcPr>
          <w:p w14:paraId="53544287" w14:textId="5C7769AF" w:rsidR="00172D44" w:rsidRPr="00E64165" w:rsidRDefault="00C90653" w:rsidP="00172D44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13</w:t>
            </w:r>
          </w:p>
        </w:tc>
        <w:tc>
          <w:tcPr>
            <w:tcW w:w="5674" w:type="dxa"/>
            <w:vAlign w:val="center"/>
          </w:tcPr>
          <w:p w14:paraId="62892775" w14:textId="4CF99899" w:rsidR="00172D44" w:rsidRPr="00E64165" w:rsidRDefault="00172D44" w:rsidP="00172D44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Incumplir el procedimiento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PROO1-246 Gestión de Permisos de Trabajo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>, Análisis de Trabajo Seguro y/o Manual Corporativo de Seguridad, Salud y Protección Ambiental para Contratistas de PETROPERÚ vigentes.</w:t>
            </w:r>
          </w:p>
        </w:tc>
        <w:tc>
          <w:tcPr>
            <w:tcW w:w="1275" w:type="dxa"/>
            <w:vAlign w:val="center"/>
          </w:tcPr>
          <w:p w14:paraId="42BB9B5B" w14:textId="5F518C76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DS 043-2007-EM Art. 61°</w:t>
            </w:r>
          </w:p>
        </w:tc>
        <w:tc>
          <w:tcPr>
            <w:tcW w:w="993" w:type="dxa"/>
            <w:vAlign w:val="center"/>
          </w:tcPr>
          <w:p w14:paraId="3243C275" w14:textId="7A4629D9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6C87D885" w14:textId="1F6EBB81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1%</w:t>
            </w:r>
          </w:p>
        </w:tc>
      </w:tr>
      <w:tr w:rsidR="00AC21CC" w:rsidRPr="00E64165" w14:paraId="453087A8" w14:textId="77777777" w:rsidTr="00E64165">
        <w:trPr>
          <w:trHeight w:val="125"/>
        </w:trPr>
        <w:tc>
          <w:tcPr>
            <w:tcW w:w="417" w:type="dxa"/>
            <w:vAlign w:val="center"/>
          </w:tcPr>
          <w:p w14:paraId="2DE7D07D" w14:textId="62551EEA" w:rsidR="00172D44" w:rsidRPr="00E64165" w:rsidRDefault="00C90653" w:rsidP="00172D44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14</w:t>
            </w:r>
          </w:p>
        </w:tc>
        <w:tc>
          <w:tcPr>
            <w:tcW w:w="5674" w:type="dxa"/>
            <w:vAlign w:val="center"/>
          </w:tcPr>
          <w:p w14:paraId="31361AD6" w14:textId="2D3EA94B" w:rsidR="00172D44" w:rsidRPr="00E64165" w:rsidRDefault="00172D44" w:rsidP="00172D44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En caso aplique, no respetar las normas de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conducción de vehículos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que se utilicen como parte del Contrato dentro de las instalaciones de PETROPERÚ y/o </w:t>
            </w:r>
            <w:proofErr w:type="gramStart"/>
            <w:r w:rsidRPr="00E64165">
              <w:rPr>
                <w:rFonts w:ascii="Arial Narrow" w:hAnsi="Arial Narrow" w:cs="Arial"/>
                <w:sz w:val="18"/>
                <w:szCs w:val="18"/>
              </w:rPr>
              <w:t>en relación a</w:t>
            </w:r>
            <w:proofErr w:type="gramEnd"/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sus procesos, que se encuentran establecidas lineamiento LINA1-056 y/o en el Manual Corporativo de Seguridad, Salud y Protección Ambiental para Contratistas.</w:t>
            </w:r>
          </w:p>
        </w:tc>
        <w:tc>
          <w:tcPr>
            <w:tcW w:w="1275" w:type="dxa"/>
            <w:vAlign w:val="center"/>
          </w:tcPr>
          <w:p w14:paraId="03B04BE7" w14:textId="0F08014E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DS 016-2009-MTC</w:t>
            </w:r>
          </w:p>
        </w:tc>
        <w:tc>
          <w:tcPr>
            <w:tcW w:w="993" w:type="dxa"/>
            <w:vAlign w:val="center"/>
          </w:tcPr>
          <w:p w14:paraId="1D5C8D53" w14:textId="1D70DEA7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02A669AB" w14:textId="0E1A5DAD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1%</w:t>
            </w:r>
          </w:p>
        </w:tc>
      </w:tr>
      <w:tr w:rsidR="00AC21CC" w:rsidRPr="00E64165" w14:paraId="157F725A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71D11D42" w14:textId="088ACCA4" w:rsidR="00172D44" w:rsidRPr="00E64165" w:rsidRDefault="00C90653" w:rsidP="00172D44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15</w:t>
            </w:r>
          </w:p>
        </w:tc>
        <w:tc>
          <w:tcPr>
            <w:tcW w:w="5674" w:type="dxa"/>
            <w:vAlign w:val="center"/>
          </w:tcPr>
          <w:p w14:paraId="7E5C6D07" w14:textId="1F0CB489" w:rsidR="00172D44" w:rsidRPr="00E64165" w:rsidRDefault="00172D44" w:rsidP="00172D44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Ausencia, en la zona de labores, del </w:t>
            </w:r>
            <w:proofErr w:type="gramStart"/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Responsable</w:t>
            </w:r>
            <w:proofErr w:type="gramEnd"/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de Ejecutar el Trabajo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durante la ejecución de los trabajos de alto riesgo contemplados en el Permiso de Trabajo.</w:t>
            </w:r>
          </w:p>
        </w:tc>
        <w:tc>
          <w:tcPr>
            <w:tcW w:w="1275" w:type="dxa"/>
            <w:vAlign w:val="center"/>
          </w:tcPr>
          <w:p w14:paraId="47C94828" w14:textId="33598359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  <w:lang w:val="en-US"/>
              </w:rPr>
              <w:t>DS 005-2012-TR Art. 26° c</w:t>
            </w:r>
          </w:p>
        </w:tc>
        <w:tc>
          <w:tcPr>
            <w:tcW w:w="993" w:type="dxa"/>
            <w:vAlign w:val="center"/>
          </w:tcPr>
          <w:p w14:paraId="0FE1F6DC" w14:textId="365E55AD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6AC7FE9B" w14:textId="5C09A177" w:rsidR="00172D44" w:rsidRPr="00E64165" w:rsidRDefault="00172D44" w:rsidP="00172D44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/>
                <w:sz w:val="16"/>
                <w:szCs w:val="16"/>
              </w:rPr>
              <w:t>1%</w:t>
            </w:r>
          </w:p>
        </w:tc>
      </w:tr>
      <w:tr w:rsidR="00AC21CC" w:rsidRPr="00E64165" w14:paraId="383AADA9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5552ABDA" w14:textId="329A3471" w:rsidR="00C90653" w:rsidRPr="00E64165" w:rsidRDefault="00C90653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16</w:t>
            </w:r>
          </w:p>
        </w:tc>
        <w:tc>
          <w:tcPr>
            <w:tcW w:w="5674" w:type="dxa"/>
            <w:vAlign w:val="center"/>
          </w:tcPr>
          <w:p w14:paraId="5F97BD22" w14:textId="656FCD66" w:rsidR="00C90653" w:rsidRPr="00E64165" w:rsidRDefault="00C90653" w:rsidP="00C90653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Emplear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equipos de protección personal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sin certificación, deteriorados, en condiciones insalubres (</w:t>
            </w:r>
            <w:proofErr w:type="spellStart"/>
            <w:r w:rsidRPr="00E64165">
              <w:rPr>
                <w:rFonts w:ascii="Arial Narrow" w:hAnsi="Arial Narrow" w:cs="Arial"/>
                <w:sz w:val="18"/>
                <w:szCs w:val="18"/>
              </w:rPr>
              <w:t>ejm</w:t>
            </w:r>
            <w:proofErr w:type="spellEnd"/>
            <w:r w:rsidRPr="00E64165">
              <w:rPr>
                <w:rFonts w:ascii="Arial Narrow" w:hAnsi="Arial Narrow" w:cs="Arial"/>
                <w:sz w:val="18"/>
                <w:szCs w:val="18"/>
              </w:rPr>
              <w:t>: empleo de botas humedecidas) o entregar equipos al personal que no sean nuevos.</w:t>
            </w:r>
          </w:p>
        </w:tc>
        <w:tc>
          <w:tcPr>
            <w:tcW w:w="1275" w:type="dxa"/>
            <w:vAlign w:val="center"/>
          </w:tcPr>
          <w:p w14:paraId="5B3FB39E" w14:textId="3898E634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DS 043-2007-EM Art. 17.1°</w:t>
            </w:r>
          </w:p>
        </w:tc>
        <w:tc>
          <w:tcPr>
            <w:tcW w:w="993" w:type="dxa"/>
            <w:vAlign w:val="center"/>
          </w:tcPr>
          <w:p w14:paraId="35DA8E50" w14:textId="19F19D4D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1C926BB5" w14:textId="7E1EC355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0.5%</w:t>
            </w:r>
          </w:p>
        </w:tc>
      </w:tr>
      <w:tr w:rsidR="00AC21CC" w:rsidRPr="00E64165" w14:paraId="231396AA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3E24FAFF" w14:textId="57BAE4A4" w:rsidR="00C90653" w:rsidRPr="00E64165" w:rsidRDefault="00C90653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17</w:t>
            </w:r>
          </w:p>
        </w:tc>
        <w:tc>
          <w:tcPr>
            <w:tcW w:w="5674" w:type="dxa"/>
            <w:vAlign w:val="center"/>
          </w:tcPr>
          <w:p w14:paraId="2BBDD0DF" w14:textId="71BC573C" w:rsidR="00C90653" w:rsidRPr="00E64165" w:rsidRDefault="00C90653" w:rsidP="00C90653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Identificar personal que no haga uso o trabaje con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Equipos de Protección Personal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deteriorados. Aplicable por cada personal identificado.</w:t>
            </w:r>
          </w:p>
        </w:tc>
        <w:tc>
          <w:tcPr>
            <w:tcW w:w="1275" w:type="dxa"/>
            <w:vAlign w:val="center"/>
          </w:tcPr>
          <w:p w14:paraId="2C02B263" w14:textId="19A086C7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 xml:space="preserve">Ley </w:t>
            </w:r>
            <w:proofErr w:type="gramStart"/>
            <w:r w:rsidRPr="00E64165">
              <w:rPr>
                <w:rFonts w:ascii="Arial Narrow" w:hAnsi="Arial Narrow" w:cs="Arial"/>
                <w:sz w:val="16"/>
                <w:szCs w:val="16"/>
              </w:rPr>
              <w:t>29783  Art.</w:t>
            </w:r>
            <w:proofErr w:type="gramEnd"/>
            <w:r w:rsidRPr="00E64165">
              <w:rPr>
                <w:rFonts w:ascii="Arial Narrow" w:hAnsi="Arial Narrow" w:cs="Arial"/>
                <w:sz w:val="16"/>
                <w:szCs w:val="16"/>
              </w:rPr>
              <w:t xml:space="preserve"> 21° e</w:t>
            </w:r>
          </w:p>
        </w:tc>
        <w:tc>
          <w:tcPr>
            <w:tcW w:w="993" w:type="dxa"/>
            <w:vAlign w:val="center"/>
          </w:tcPr>
          <w:p w14:paraId="7E823C5B" w14:textId="3C237CAB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65525855" w14:textId="14956BAE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0.1%</w:t>
            </w:r>
          </w:p>
        </w:tc>
      </w:tr>
      <w:tr w:rsidR="00AC21CC" w:rsidRPr="00E64165" w14:paraId="64F20A82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79926D01" w14:textId="4BFA6DE2" w:rsidR="00AC21CC" w:rsidRPr="00E64165" w:rsidRDefault="00AC21CC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18</w:t>
            </w:r>
          </w:p>
        </w:tc>
        <w:tc>
          <w:tcPr>
            <w:tcW w:w="5674" w:type="dxa"/>
            <w:vAlign w:val="center"/>
          </w:tcPr>
          <w:p w14:paraId="016CC9AF" w14:textId="0A080BB0" w:rsidR="00AC21CC" w:rsidRPr="00E64165" w:rsidRDefault="00AC21CC" w:rsidP="00C90653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No contar o incumplir el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Programa de Actividades de Ambiente, Seguridad y Salud Ocupacional 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>del contratista para el servicio u obra, de acuerdo con lo requerido en el procedimiento PROO1-390 y el Manual Corporativo de Seguridad, Salud y Protección Ambiental para Contratistas.</w:t>
            </w:r>
          </w:p>
        </w:tc>
        <w:tc>
          <w:tcPr>
            <w:tcW w:w="1275" w:type="dxa"/>
            <w:vAlign w:val="center"/>
          </w:tcPr>
          <w:p w14:paraId="4581FE0A" w14:textId="774A823F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DS 005-2012-TR Art. 26° h</w:t>
            </w:r>
          </w:p>
        </w:tc>
        <w:tc>
          <w:tcPr>
            <w:tcW w:w="993" w:type="dxa"/>
            <w:vAlign w:val="center"/>
          </w:tcPr>
          <w:p w14:paraId="26FB99B5" w14:textId="4116AD42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1D446C0E" w14:textId="764AC69F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0.5%</w:t>
            </w:r>
          </w:p>
        </w:tc>
      </w:tr>
      <w:tr w:rsidR="00AC21CC" w:rsidRPr="00E64165" w14:paraId="38E3E875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4187ACCF" w14:textId="4A06E138" w:rsidR="00C90653" w:rsidRPr="00E64165" w:rsidRDefault="00C90653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1</w:t>
            </w:r>
            <w:r w:rsidR="00AC21CC" w:rsidRPr="00E64165">
              <w:rPr>
                <w:rFonts w:ascii="Arial Narrow" w:hAnsi="Arial Narrow" w:cs="Arial"/>
                <w:sz w:val="16"/>
                <w:szCs w:val="16"/>
              </w:rPr>
              <w:t>9</w:t>
            </w:r>
          </w:p>
        </w:tc>
        <w:tc>
          <w:tcPr>
            <w:tcW w:w="5674" w:type="dxa"/>
            <w:vAlign w:val="center"/>
          </w:tcPr>
          <w:p w14:paraId="0CFD4BC2" w14:textId="1A9B9649" w:rsidR="00C90653" w:rsidRPr="00E64165" w:rsidRDefault="00C90653" w:rsidP="00C90653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Emplear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equipos, máquinas sin la capacitación y/o autorización respectiva, o hacer uso de herramientas no estandarizadas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o no diseñadas para la labor que se ejecuta.</w:t>
            </w:r>
          </w:p>
        </w:tc>
        <w:tc>
          <w:tcPr>
            <w:tcW w:w="1275" w:type="dxa"/>
            <w:vAlign w:val="center"/>
          </w:tcPr>
          <w:p w14:paraId="6C4FFAAF" w14:textId="1F68F312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Ley 29783 Art. 69° b DS 043-2007-EM Art. 17.1°</w:t>
            </w:r>
          </w:p>
        </w:tc>
        <w:tc>
          <w:tcPr>
            <w:tcW w:w="993" w:type="dxa"/>
            <w:vAlign w:val="center"/>
          </w:tcPr>
          <w:p w14:paraId="53510807" w14:textId="2587F903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66ADE981" w14:textId="6C68A049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0.5%</w:t>
            </w:r>
          </w:p>
        </w:tc>
      </w:tr>
      <w:tr w:rsidR="00AC21CC" w:rsidRPr="00E64165" w14:paraId="0F1131CD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75E97CC0" w14:textId="6162D380" w:rsidR="00AC21CC" w:rsidRPr="00E64165" w:rsidRDefault="00AC21CC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20</w:t>
            </w:r>
          </w:p>
        </w:tc>
        <w:tc>
          <w:tcPr>
            <w:tcW w:w="5674" w:type="dxa"/>
            <w:vAlign w:val="center"/>
          </w:tcPr>
          <w:p w14:paraId="1963CD62" w14:textId="5E57FE6B" w:rsidR="00AC21CC" w:rsidRPr="00E64165" w:rsidRDefault="00AC21CC" w:rsidP="00C90653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Sobrepasar las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doce horas de trabajo máximo en las instalaciones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de PETROPERÚ o el horario indicado en el Permiso de Trabajo, sin la respectiva autorización.</w:t>
            </w:r>
          </w:p>
        </w:tc>
        <w:tc>
          <w:tcPr>
            <w:tcW w:w="1275" w:type="dxa"/>
            <w:vAlign w:val="center"/>
          </w:tcPr>
          <w:p w14:paraId="24CAF75A" w14:textId="0FACDFF1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DS 043-2007-EM Art. 61°</w:t>
            </w:r>
          </w:p>
        </w:tc>
        <w:tc>
          <w:tcPr>
            <w:tcW w:w="993" w:type="dxa"/>
            <w:vAlign w:val="center"/>
          </w:tcPr>
          <w:p w14:paraId="19800DDE" w14:textId="29860D5F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60A0ACC7" w14:textId="77C5AAE8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0.1%</w:t>
            </w:r>
          </w:p>
        </w:tc>
      </w:tr>
      <w:tr w:rsidR="00AC21CC" w:rsidRPr="00E64165" w14:paraId="5E56295E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1A59AE3E" w14:textId="10DB27D0" w:rsidR="00C90653" w:rsidRPr="00E64165" w:rsidRDefault="00AC21CC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21</w:t>
            </w:r>
          </w:p>
        </w:tc>
        <w:tc>
          <w:tcPr>
            <w:tcW w:w="5674" w:type="dxa"/>
            <w:vAlign w:val="center"/>
          </w:tcPr>
          <w:p w14:paraId="7D7E3CEA" w14:textId="2613D8ED" w:rsidR="00C90653" w:rsidRPr="00E64165" w:rsidRDefault="00C90653" w:rsidP="00C9065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No realizar un adecuado acopio, almacenamiento temporal, transporte, tratamiento y/o disposición final de los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residuos sólidos generados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como resultado del desarrollo de sus actividades en áreas operativas o tópicos médicos, según aplique al tipo de residuo y al alcance del trabajo a cargo del contratista.</w:t>
            </w:r>
          </w:p>
        </w:tc>
        <w:tc>
          <w:tcPr>
            <w:tcW w:w="1275" w:type="dxa"/>
            <w:vAlign w:val="center"/>
          </w:tcPr>
          <w:p w14:paraId="6EF3C648" w14:textId="6E773D8D" w:rsidR="00C90653" w:rsidRPr="00E64165" w:rsidRDefault="00C90653" w:rsidP="00C9065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Ley 27314</w:t>
            </w:r>
          </w:p>
        </w:tc>
        <w:tc>
          <w:tcPr>
            <w:tcW w:w="993" w:type="dxa"/>
            <w:vAlign w:val="center"/>
          </w:tcPr>
          <w:p w14:paraId="190A99F1" w14:textId="5466BB7D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46C067AD" w14:textId="04337B69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0.5%</w:t>
            </w:r>
          </w:p>
        </w:tc>
      </w:tr>
      <w:tr w:rsidR="00AC21CC" w:rsidRPr="00E64165" w14:paraId="1D0D914B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2A7DECF7" w14:textId="21814A71" w:rsidR="00C90653" w:rsidRPr="00E64165" w:rsidRDefault="00C90653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2</w:t>
            </w:r>
            <w:r w:rsidR="00AC21CC" w:rsidRPr="00E64165"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5674" w:type="dxa"/>
            <w:vAlign w:val="center"/>
          </w:tcPr>
          <w:p w14:paraId="2BC4DD93" w14:textId="77777777" w:rsidR="00C90653" w:rsidRPr="00E64165" w:rsidRDefault="00C90653" w:rsidP="00C9065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No adoptar </w:t>
            </w:r>
            <w:r w:rsidRPr="00E64165">
              <w:rPr>
                <w:rFonts w:ascii="Arial Narrow" w:hAnsi="Arial Narrow" w:cs="Arial"/>
                <w:b/>
                <w:bCs/>
                <w:sz w:val="18"/>
                <w:szCs w:val="18"/>
              </w:rPr>
              <w:t>medidas para el control y minimización de los impactos</w:t>
            </w:r>
            <w:r w:rsidRPr="00E64165">
              <w:rPr>
                <w:rFonts w:ascii="Arial Narrow" w:hAnsi="Arial Narrow" w:cs="Arial"/>
                <w:sz w:val="18"/>
                <w:szCs w:val="18"/>
              </w:rPr>
              <w:t xml:space="preserve"> generados por siniestros o emergencias (</w:t>
            </w:r>
            <w:proofErr w:type="spellStart"/>
            <w:r w:rsidRPr="00E64165">
              <w:rPr>
                <w:rFonts w:ascii="Arial Narrow" w:hAnsi="Arial Narrow" w:cs="Arial"/>
                <w:sz w:val="18"/>
                <w:szCs w:val="18"/>
              </w:rPr>
              <w:t>e.g</w:t>
            </w:r>
            <w:proofErr w:type="spellEnd"/>
            <w:r w:rsidRPr="00E64165">
              <w:rPr>
                <w:rFonts w:ascii="Arial Narrow" w:hAnsi="Arial Narrow" w:cs="Arial"/>
                <w:sz w:val="18"/>
                <w:szCs w:val="18"/>
              </w:rPr>
              <w:t>.: derrames, fugas, etc.) ocurridos a causa o con ocasión del desarrollo de sus actividades, o no efectuar la limpieza y descontaminación de las áreas afectadas como consecuencia.</w:t>
            </w:r>
          </w:p>
          <w:p w14:paraId="3BF89633" w14:textId="137FE019" w:rsidR="00C90653" w:rsidRPr="00E64165" w:rsidRDefault="00C90653" w:rsidP="00C9065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lastRenderedPageBreak/>
              <w:t>Esta penalidad es aplicable a las actividades del contratista que impliquen la manipulación de componentes (infraestructuras, equipos o vehículos) destinados al almacenamiento, transporte, despacho, recepción o procesamiento de materiales peligrosos (hidrocarburos, sustancias químicas o residuos).</w:t>
            </w:r>
          </w:p>
        </w:tc>
        <w:tc>
          <w:tcPr>
            <w:tcW w:w="1275" w:type="dxa"/>
            <w:vAlign w:val="center"/>
          </w:tcPr>
          <w:p w14:paraId="4AA6ED88" w14:textId="5BD8B529" w:rsidR="00C90653" w:rsidRPr="00E64165" w:rsidRDefault="00C90653" w:rsidP="00C9065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lastRenderedPageBreak/>
              <w:t>DS 043-2007-EM Art. 17.1°</w:t>
            </w:r>
          </w:p>
        </w:tc>
        <w:tc>
          <w:tcPr>
            <w:tcW w:w="993" w:type="dxa"/>
            <w:vAlign w:val="center"/>
          </w:tcPr>
          <w:p w14:paraId="00F34D6E" w14:textId="5D5F182A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10EE3255" w14:textId="6CBD7099" w:rsidR="00C90653" w:rsidRPr="00E64165" w:rsidRDefault="00C90653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2%</w:t>
            </w:r>
          </w:p>
        </w:tc>
      </w:tr>
      <w:tr w:rsidR="00AC21CC" w:rsidRPr="00E64165" w14:paraId="4F828149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767289EC" w14:textId="1F3718DB" w:rsidR="00AC21CC" w:rsidRPr="00E64165" w:rsidRDefault="00AC21CC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23</w:t>
            </w:r>
          </w:p>
        </w:tc>
        <w:tc>
          <w:tcPr>
            <w:tcW w:w="5674" w:type="dxa"/>
            <w:vAlign w:val="center"/>
          </w:tcPr>
          <w:p w14:paraId="23222CD4" w14:textId="2696D2A7" w:rsidR="00AC21CC" w:rsidRPr="00E64165" w:rsidRDefault="00AC21CC" w:rsidP="00C9065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Alteración o manipulación del sistema de medición referencial del producto en cisterna, según aplique.</w:t>
            </w:r>
          </w:p>
        </w:tc>
        <w:tc>
          <w:tcPr>
            <w:tcW w:w="1275" w:type="dxa"/>
            <w:vAlign w:val="center"/>
          </w:tcPr>
          <w:p w14:paraId="711E91DC" w14:textId="77777777" w:rsidR="00AC21CC" w:rsidRPr="00E64165" w:rsidRDefault="00AC21CC" w:rsidP="00C9065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CCEA4C0" w14:textId="6765D471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5E932F17" w14:textId="5B7EC8F0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0.5%</w:t>
            </w:r>
          </w:p>
        </w:tc>
      </w:tr>
      <w:tr w:rsidR="00AC21CC" w:rsidRPr="00E64165" w14:paraId="4F7C82C2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6F34F2B3" w14:textId="55409D91" w:rsidR="00AC21CC" w:rsidRPr="00E64165" w:rsidRDefault="00AC21CC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24</w:t>
            </w:r>
          </w:p>
        </w:tc>
        <w:tc>
          <w:tcPr>
            <w:tcW w:w="5674" w:type="dxa"/>
            <w:vAlign w:val="center"/>
          </w:tcPr>
          <w:p w14:paraId="5D4FBEF4" w14:textId="4620C79B" w:rsidR="00AC21CC" w:rsidRPr="00E64165" w:rsidRDefault="00AC21CC" w:rsidP="00C9065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Incumplimiento y/o inoperatividad de controles operacionales de sus actividades, como en el proceso de carga en las islas de despacho, en el manejo de vehículos, en el sistema de sobrellenado de cisternas.</w:t>
            </w:r>
          </w:p>
        </w:tc>
        <w:tc>
          <w:tcPr>
            <w:tcW w:w="1275" w:type="dxa"/>
            <w:vAlign w:val="center"/>
          </w:tcPr>
          <w:p w14:paraId="575D6F48" w14:textId="4CDDFF75" w:rsidR="00AC21CC" w:rsidRPr="00E64165" w:rsidRDefault="00AC21CC" w:rsidP="00C9065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Ley 29783 Principio de prevención</w:t>
            </w:r>
          </w:p>
        </w:tc>
        <w:tc>
          <w:tcPr>
            <w:tcW w:w="993" w:type="dxa"/>
            <w:vAlign w:val="center"/>
          </w:tcPr>
          <w:p w14:paraId="3682F26D" w14:textId="1AEF08D5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589B0E32" w14:textId="478CB94F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0.5%</w:t>
            </w:r>
          </w:p>
        </w:tc>
      </w:tr>
      <w:tr w:rsidR="00AC21CC" w:rsidRPr="00E64165" w14:paraId="00EAC4FA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2EEC2189" w14:textId="619FA7DA" w:rsidR="00AC21CC" w:rsidRPr="00E64165" w:rsidRDefault="00AC21CC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25</w:t>
            </w:r>
          </w:p>
        </w:tc>
        <w:tc>
          <w:tcPr>
            <w:tcW w:w="5674" w:type="dxa"/>
            <w:vAlign w:val="center"/>
          </w:tcPr>
          <w:p w14:paraId="33CF4CED" w14:textId="6BD2EA85" w:rsidR="00AC21CC" w:rsidRPr="00E64165" w:rsidRDefault="00AC21CC" w:rsidP="00C9065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Ingreso de equipos a las instalaciones sin sistemas de protección y/o retiro de estos (guardas, protección de válvulas de carga de cisterna, entre otros ).</w:t>
            </w:r>
          </w:p>
        </w:tc>
        <w:tc>
          <w:tcPr>
            <w:tcW w:w="1275" w:type="dxa"/>
            <w:vAlign w:val="center"/>
          </w:tcPr>
          <w:p w14:paraId="32C6F6DE" w14:textId="446F0EF7" w:rsidR="00AC21CC" w:rsidRPr="00E64165" w:rsidRDefault="00AC21CC" w:rsidP="00C9065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Ley 29783 Principio de prevención</w:t>
            </w:r>
          </w:p>
        </w:tc>
        <w:tc>
          <w:tcPr>
            <w:tcW w:w="993" w:type="dxa"/>
            <w:vAlign w:val="center"/>
          </w:tcPr>
          <w:p w14:paraId="15F9632A" w14:textId="0CE2C387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1B5E04CC" w14:textId="7CB45378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0.5%</w:t>
            </w:r>
          </w:p>
        </w:tc>
      </w:tr>
      <w:tr w:rsidR="00AC21CC" w:rsidRPr="00E64165" w14:paraId="66405786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79650E64" w14:textId="5E4D4926" w:rsidR="00AC21CC" w:rsidRPr="00E64165" w:rsidRDefault="00AC21CC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26</w:t>
            </w:r>
          </w:p>
        </w:tc>
        <w:tc>
          <w:tcPr>
            <w:tcW w:w="5674" w:type="dxa"/>
            <w:vAlign w:val="center"/>
          </w:tcPr>
          <w:p w14:paraId="34E6147B" w14:textId="56B72EC0" w:rsidR="00AC21CC" w:rsidRPr="00E64165" w:rsidRDefault="00AC21CC" w:rsidP="00C9065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Derrame de producto ocasionado por cisterna o vehículo en mal estado o defectuoso.</w:t>
            </w:r>
          </w:p>
        </w:tc>
        <w:tc>
          <w:tcPr>
            <w:tcW w:w="1275" w:type="dxa"/>
            <w:vAlign w:val="center"/>
          </w:tcPr>
          <w:p w14:paraId="79AC79CA" w14:textId="77777777" w:rsidR="00AC21CC" w:rsidRPr="00E64165" w:rsidRDefault="00AC21CC" w:rsidP="00C9065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8C922AE" w14:textId="3634E1DE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0744676C" w14:textId="14296606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0.3%</w:t>
            </w:r>
          </w:p>
        </w:tc>
      </w:tr>
      <w:tr w:rsidR="00AC21CC" w:rsidRPr="00E64165" w14:paraId="6ECAE7FE" w14:textId="77777777" w:rsidTr="00E64165">
        <w:trPr>
          <w:trHeight w:val="111"/>
        </w:trPr>
        <w:tc>
          <w:tcPr>
            <w:tcW w:w="417" w:type="dxa"/>
            <w:vAlign w:val="center"/>
          </w:tcPr>
          <w:p w14:paraId="4A6AD341" w14:textId="45B7D1D7" w:rsidR="00AC21CC" w:rsidRPr="00E64165" w:rsidRDefault="00AC21CC" w:rsidP="00C90653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27</w:t>
            </w:r>
          </w:p>
        </w:tc>
        <w:tc>
          <w:tcPr>
            <w:tcW w:w="5674" w:type="dxa"/>
            <w:vAlign w:val="center"/>
          </w:tcPr>
          <w:p w14:paraId="7F3742A5" w14:textId="558FE0A7" w:rsidR="00AC21CC" w:rsidRPr="00E64165" w:rsidRDefault="00AC21CC" w:rsidP="00C9065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E64165">
              <w:rPr>
                <w:rFonts w:ascii="Arial Narrow" w:hAnsi="Arial Narrow" w:cs="Arial"/>
                <w:sz w:val="18"/>
                <w:szCs w:val="18"/>
              </w:rPr>
              <w:t>No contar con elementos de seguridad aplicables a la actividad como extintores, conos, señalizaciones, entre otros.</w:t>
            </w:r>
          </w:p>
        </w:tc>
        <w:tc>
          <w:tcPr>
            <w:tcW w:w="1275" w:type="dxa"/>
            <w:vAlign w:val="center"/>
          </w:tcPr>
          <w:p w14:paraId="0604B293" w14:textId="79E00496" w:rsidR="00AC21CC" w:rsidRPr="00E64165" w:rsidRDefault="00AC21CC" w:rsidP="00C9065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Ley 29783 Principio de prevención</w:t>
            </w:r>
          </w:p>
        </w:tc>
        <w:tc>
          <w:tcPr>
            <w:tcW w:w="993" w:type="dxa"/>
            <w:vAlign w:val="center"/>
          </w:tcPr>
          <w:p w14:paraId="7D4363FA" w14:textId="250A83FA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Por evento</w:t>
            </w:r>
          </w:p>
        </w:tc>
        <w:tc>
          <w:tcPr>
            <w:tcW w:w="1134" w:type="dxa"/>
            <w:vAlign w:val="center"/>
          </w:tcPr>
          <w:p w14:paraId="1D5F5EF7" w14:textId="08AAA3E7" w:rsidR="00AC21CC" w:rsidRPr="00E64165" w:rsidRDefault="00AC21CC" w:rsidP="00C90653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64165">
              <w:rPr>
                <w:rFonts w:ascii="Arial Narrow" w:hAnsi="Arial Narrow" w:cs="Arial"/>
                <w:sz w:val="16"/>
                <w:szCs w:val="16"/>
              </w:rPr>
              <w:t>0.1%</w:t>
            </w:r>
          </w:p>
        </w:tc>
      </w:tr>
    </w:tbl>
    <w:p w14:paraId="1B56FE75" w14:textId="77777777" w:rsidR="009E1816" w:rsidRDefault="009E1816" w:rsidP="008C2347">
      <w:pPr>
        <w:ind w:left="-142"/>
        <w:rPr>
          <w:sz w:val="18"/>
        </w:rPr>
      </w:pPr>
    </w:p>
    <w:p w14:paraId="736C8679" w14:textId="77777777" w:rsidR="009E1816" w:rsidRDefault="00000000" w:rsidP="008C2347">
      <w:pPr>
        <w:autoSpaceDE w:val="0"/>
        <w:autoSpaceDN w:val="0"/>
        <w:adjustRightInd w:val="0"/>
        <w:ind w:left="-142"/>
        <w:rPr>
          <w:rFonts w:cs="Arial"/>
          <w:b/>
          <w:bCs/>
          <w:sz w:val="16"/>
          <w:szCs w:val="18"/>
        </w:rPr>
      </w:pPr>
      <w:r>
        <w:rPr>
          <w:rFonts w:cs="Arial"/>
          <w:b/>
          <w:bCs/>
          <w:sz w:val="16"/>
          <w:szCs w:val="18"/>
        </w:rPr>
        <w:t>DEFINICIONES APLICABLES AL CUADRO DE PENALIDADES:</w:t>
      </w:r>
    </w:p>
    <w:p w14:paraId="244A7141" w14:textId="77777777" w:rsidR="00C90653" w:rsidRDefault="00000000" w:rsidP="00C90653">
      <w:pPr>
        <w:autoSpaceDE w:val="0"/>
        <w:autoSpaceDN w:val="0"/>
        <w:adjustRightInd w:val="0"/>
        <w:ind w:left="-142"/>
        <w:jc w:val="both"/>
        <w:rPr>
          <w:rFonts w:cs="Arial"/>
          <w:sz w:val="16"/>
          <w:szCs w:val="18"/>
        </w:rPr>
      </w:pPr>
      <w:r>
        <w:rPr>
          <w:rFonts w:cs="Arial"/>
          <w:b/>
          <w:bCs/>
          <w:sz w:val="16"/>
          <w:szCs w:val="18"/>
        </w:rPr>
        <w:t>* Penalidad por Evento</w:t>
      </w:r>
      <w:r>
        <w:rPr>
          <w:rFonts w:cs="Arial"/>
          <w:sz w:val="16"/>
          <w:szCs w:val="18"/>
        </w:rPr>
        <w:t>: En caso un tipo de incumplimiento sea detectado dos o más veces durante el desarrollo de una misma acción de supervisión, se aplicará una única penalidad, la cual corresponderá al evento</w:t>
      </w:r>
      <w:r w:rsidR="00C90653">
        <w:rPr>
          <w:rFonts w:cs="Arial"/>
          <w:sz w:val="16"/>
          <w:szCs w:val="18"/>
        </w:rPr>
        <w:t xml:space="preserve"> </w:t>
      </w:r>
      <w:r>
        <w:rPr>
          <w:rFonts w:cs="Arial"/>
          <w:sz w:val="16"/>
          <w:szCs w:val="18"/>
        </w:rPr>
        <w:t>detectado en su conjunto. Si se verifica la reincidencia del incumplimiento durante una acción de supervisión posterior, ésta dará lugar a la imposición de una nueva penalidad.</w:t>
      </w:r>
    </w:p>
    <w:p w14:paraId="08A1696A" w14:textId="0D806021" w:rsidR="009E1816" w:rsidRDefault="00000000" w:rsidP="00C90653">
      <w:pPr>
        <w:autoSpaceDE w:val="0"/>
        <w:autoSpaceDN w:val="0"/>
        <w:adjustRightInd w:val="0"/>
        <w:ind w:left="-142"/>
        <w:jc w:val="both"/>
        <w:rPr>
          <w:rFonts w:cs="Arial"/>
          <w:sz w:val="16"/>
          <w:szCs w:val="18"/>
        </w:rPr>
      </w:pPr>
      <w:r>
        <w:rPr>
          <w:rFonts w:cs="Arial"/>
          <w:b/>
          <w:bCs/>
          <w:sz w:val="16"/>
          <w:szCs w:val="18"/>
        </w:rPr>
        <w:t xml:space="preserve">Accidente Mortal: </w:t>
      </w:r>
      <w:r>
        <w:rPr>
          <w:rFonts w:cs="Arial"/>
          <w:sz w:val="16"/>
          <w:szCs w:val="18"/>
        </w:rPr>
        <w:t>Suceso cuyas lesiones</w:t>
      </w:r>
      <w:r w:rsidR="00C90653">
        <w:rPr>
          <w:rFonts w:cs="Arial"/>
          <w:sz w:val="16"/>
          <w:szCs w:val="18"/>
        </w:rPr>
        <w:t xml:space="preserve"> </w:t>
      </w:r>
      <w:r>
        <w:rPr>
          <w:rFonts w:cs="Arial"/>
          <w:sz w:val="16"/>
          <w:szCs w:val="18"/>
        </w:rPr>
        <w:t>producen la muerte del trabajador.</w:t>
      </w:r>
    </w:p>
    <w:p w14:paraId="7A6EED2A" w14:textId="10BF2BC0" w:rsidR="009E1816" w:rsidRDefault="00000000" w:rsidP="00C90653">
      <w:pPr>
        <w:autoSpaceDE w:val="0"/>
        <w:autoSpaceDN w:val="0"/>
        <w:adjustRightInd w:val="0"/>
        <w:ind w:left="-142"/>
        <w:jc w:val="both"/>
        <w:rPr>
          <w:rFonts w:cs="Arial"/>
          <w:sz w:val="16"/>
          <w:szCs w:val="18"/>
        </w:rPr>
      </w:pPr>
      <w:r>
        <w:rPr>
          <w:rFonts w:cs="Arial"/>
          <w:b/>
          <w:bCs/>
          <w:sz w:val="16"/>
          <w:szCs w:val="18"/>
        </w:rPr>
        <w:t xml:space="preserve">Accidente Incapacitante: </w:t>
      </w:r>
      <w:r>
        <w:rPr>
          <w:rFonts w:cs="Arial"/>
          <w:sz w:val="16"/>
          <w:szCs w:val="18"/>
        </w:rPr>
        <w:t>suceso cuya lesión, resultado de la evaluación médica, da lugar a descanso, ausencia justificada al trabajo y tratamiento. Para fines estadísticos, no se tomará en cuenta el día de ocurrido el accidente.</w:t>
      </w:r>
      <w:r w:rsidR="00C90653">
        <w:rPr>
          <w:rFonts w:cs="Arial"/>
          <w:sz w:val="16"/>
          <w:szCs w:val="18"/>
        </w:rPr>
        <w:t xml:space="preserve"> </w:t>
      </w:r>
      <w:r>
        <w:rPr>
          <w:rFonts w:cs="Arial"/>
          <w:sz w:val="16"/>
          <w:szCs w:val="18"/>
        </w:rPr>
        <w:t>Según el grado de incapacidad los accidentes de trabajo pueden ser:</w:t>
      </w:r>
    </w:p>
    <w:p w14:paraId="0C8D61C4" w14:textId="39D195FB" w:rsidR="009E1816" w:rsidRPr="00C90653" w:rsidRDefault="00000000" w:rsidP="00C90653">
      <w:pPr>
        <w:pStyle w:val="Prrafodelista"/>
        <w:numPr>
          <w:ilvl w:val="0"/>
          <w:numId w:val="11"/>
        </w:numPr>
        <w:autoSpaceDE w:val="0"/>
        <w:autoSpaceDN w:val="0"/>
        <w:adjustRightInd w:val="0"/>
        <w:ind w:left="426" w:hanging="208"/>
        <w:jc w:val="both"/>
        <w:rPr>
          <w:rFonts w:cs="Arial"/>
          <w:sz w:val="16"/>
          <w:szCs w:val="18"/>
        </w:rPr>
      </w:pPr>
      <w:proofErr w:type="gramStart"/>
      <w:r w:rsidRPr="00C90653">
        <w:rPr>
          <w:rFonts w:cs="Arial"/>
          <w:sz w:val="16"/>
          <w:szCs w:val="18"/>
        </w:rPr>
        <w:t>Total</w:t>
      </w:r>
      <w:proofErr w:type="gramEnd"/>
      <w:r w:rsidRPr="00C90653">
        <w:rPr>
          <w:rFonts w:cs="Arial"/>
          <w:sz w:val="16"/>
          <w:szCs w:val="18"/>
        </w:rPr>
        <w:t xml:space="preserve"> Temporal: cuando la lesión genera en el accidentado la imposibilidad de utilizar su organismo; se otorgará tratamiento médico hasta su plena recuperación.</w:t>
      </w:r>
    </w:p>
    <w:p w14:paraId="26EC5946" w14:textId="4642A85A" w:rsidR="009E1816" w:rsidRPr="00C90653" w:rsidRDefault="00000000" w:rsidP="00C90653">
      <w:pPr>
        <w:pStyle w:val="Prrafodelista"/>
        <w:numPr>
          <w:ilvl w:val="0"/>
          <w:numId w:val="11"/>
        </w:numPr>
        <w:autoSpaceDE w:val="0"/>
        <w:autoSpaceDN w:val="0"/>
        <w:adjustRightInd w:val="0"/>
        <w:ind w:left="426" w:hanging="208"/>
        <w:jc w:val="both"/>
        <w:rPr>
          <w:rFonts w:cs="Arial"/>
          <w:sz w:val="16"/>
          <w:szCs w:val="18"/>
        </w:rPr>
      </w:pPr>
      <w:r w:rsidRPr="00C90653">
        <w:rPr>
          <w:rFonts w:cs="Arial"/>
          <w:sz w:val="16"/>
          <w:szCs w:val="18"/>
        </w:rPr>
        <w:t xml:space="preserve">Parcial Permanente: cuando la lesión genera la pérdida parcial de un miembro u órgano o de las funciones </w:t>
      </w:r>
      <w:proofErr w:type="gramStart"/>
      <w:r w:rsidRPr="00C90653">
        <w:rPr>
          <w:rFonts w:cs="Arial"/>
          <w:sz w:val="16"/>
          <w:szCs w:val="18"/>
        </w:rPr>
        <w:t>del mismo</w:t>
      </w:r>
      <w:proofErr w:type="gramEnd"/>
      <w:r w:rsidRPr="00C90653">
        <w:rPr>
          <w:rFonts w:cs="Arial"/>
          <w:sz w:val="16"/>
          <w:szCs w:val="18"/>
        </w:rPr>
        <w:t>.</w:t>
      </w:r>
    </w:p>
    <w:p w14:paraId="54298754" w14:textId="13700F7B" w:rsidR="009E1816" w:rsidRPr="00C90653" w:rsidRDefault="00000000" w:rsidP="00C90653">
      <w:pPr>
        <w:pStyle w:val="Prrafodelista"/>
        <w:numPr>
          <w:ilvl w:val="0"/>
          <w:numId w:val="11"/>
        </w:numPr>
        <w:autoSpaceDE w:val="0"/>
        <w:autoSpaceDN w:val="0"/>
        <w:adjustRightInd w:val="0"/>
        <w:ind w:left="426" w:hanging="208"/>
        <w:jc w:val="both"/>
        <w:rPr>
          <w:rFonts w:cs="Arial"/>
          <w:sz w:val="16"/>
          <w:szCs w:val="18"/>
        </w:rPr>
      </w:pPr>
      <w:proofErr w:type="gramStart"/>
      <w:r w:rsidRPr="00C90653">
        <w:rPr>
          <w:rFonts w:cs="Arial"/>
          <w:sz w:val="16"/>
          <w:szCs w:val="18"/>
        </w:rPr>
        <w:t>Total</w:t>
      </w:r>
      <w:proofErr w:type="gramEnd"/>
      <w:r w:rsidRPr="00C90653">
        <w:rPr>
          <w:rFonts w:cs="Arial"/>
          <w:sz w:val="16"/>
          <w:szCs w:val="18"/>
        </w:rPr>
        <w:t xml:space="preserve"> Permanente: cuando la lesión genera la pérdida anatómica o funcional total de un miembro u órgano; o de las funciones del mismo. Se considera a partir de la pérdida del dedo meñique.</w:t>
      </w:r>
    </w:p>
    <w:p w14:paraId="5839847F" w14:textId="77777777" w:rsidR="009E1816" w:rsidRDefault="00000000" w:rsidP="00C90653">
      <w:pPr>
        <w:autoSpaceDE w:val="0"/>
        <w:autoSpaceDN w:val="0"/>
        <w:adjustRightInd w:val="0"/>
        <w:ind w:left="-142"/>
        <w:jc w:val="both"/>
        <w:rPr>
          <w:rFonts w:cs="Arial"/>
          <w:sz w:val="16"/>
          <w:szCs w:val="18"/>
        </w:rPr>
      </w:pPr>
      <w:r>
        <w:rPr>
          <w:rFonts w:cs="Arial"/>
          <w:b/>
          <w:bCs/>
          <w:sz w:val="16"/>
          <w:szCs w:val="18"/>
        </w:rPr>
        <w:t xml:space="preserve">Incidente Peligroso: </w:t>
      </w:r>
      <w:r>
        <w:rPr>
          <w:rFonts w:cs="Arial"/>
          <w:sz w:val="16"/>
          <w:szCs w:val="18"/>
        </w:rPr>
        <w:t>Todo suceso potencialmente riesgoso que pudiera causar lesiones o enfermedades a las personas en su trabajo o a la población.</w:t>
      </w:r>
    </w:p>
    <w:p w14:paraId="319CD3F4" w14:textId="77777777" w:rsidR="009E1816" w:rsidRDefault="00000000" w:rsidP="00C90653">
      <w:pPr>
        <w:autoSpaceDE w:val="0"/>
        <w:autoSpaceDN w:val="0"/>
        <w:adjustRightInd w:val="0"/>
        <w:ind w:left="-142"/>
        <w:jc w:val="both"/>
        <w:rPr>
          <w:rFonts w:cs="Arial"/>
          <w:sz w:val="16"/>
          <w:szCs w:val="18"/>
        </w:rPr>
      </w:pPr>
      <w:r>
        <w:rPr>
          <w:rFonts w:cs="Arial"/>
          <w:b/>
          <w:bCs/>
          <w:sz w:val="16"/>
          <w:szCs w:val="18"/>
        </w:rPr>
        <w:t xml:space="preserve">Accidente Leve: </w:t>
      </w:r>
      <w:r>
        <w:rPr>
          <w:rFonts w:cs="Arial"/>
          <w:sz w:val="16"/>
          <w:szCs w:val="18"/>
        </w:rPr>
        <w:t>Suceso cuya lesión, resultado de la evaluación médica, que genera en el accidentado un descanso breve con retorno máximo al día siguiente a sus labores habituales.</w:t>
      </w:r>
    </w:p>
    <w:p w14:paraId="687C0CFB" w14:textId="77777777" w:rsidR="009E1816" w:rsidRDefault="00000000" w:rsidP="00C90653">
      <w:pPr>
        <w:autoSpaceDE w:val="0"/>
        <w:autoSpaceDN w:val="0"/>
        <w:adjustRightInd w:val="0"/>
        <w:ind w:left="-142"/>
        <w:jc w:val="both"/>
        <w:rPr>
          <w:rFonts w:cs="Arial"/>
          <w:sz w:val="16"/>
          <w:szCs w:val="18"/>
        </w:rPr>
      </w:pPr>
      <w:r>
        <w:rPr>
          <w:rFonts w:cs="Arial"/>
          <w:b/>
          <w:bCs/>
          <w:sz w:val="16"/>
          <w:szCs w:val="18"/>
        </w:rPr>
        <w:t xml:space="preserve">Incidente: </w:t>
      </w:r>
      <w:r>
        <w:rPr>
          <w:rFonts w:cs="Arial"/>
          <w:sz w:val="16"/>
          <w:szCs w:val="18"/>
        </w:rPr>
        <w:t>Suceso acaecido en el curso del trabajo o en relación con el trabajo, en el que la persona afectada no sufre lesiones corporales, o en el que éstas sólo requieren cuidados de primeros auxilios.</w:t>
      </w:r>
    </w:p>
    <w:p w14:paraId="116A4403" w14:textId="7E5341FB" w:rsidR="009E1816" w:rsidRDefault="00000000" w:rsidP="00C90653">
      <w:pPr>
        <w:autoSpaceDE w:val="0"/>
        <w:autoSpaceDN w:val="0"/>
        <w:adjustRightInd w:val="0"/>
        <w:ind w:left="-142"/>
        <w:jc w:val="both"/>
        <w:rPr>
          <w:rFonts w:cs="Arial"/>
          <w:sz w:val="16"/>
          <w:szCs w:val="18"/>
        </w:rPr>
      </w:pPr>
      <w:r>
        <w:rPr>
          <w:rFonts w:cs="Arial"/>
          <w:b/>
          <w:bCs/>
          <w:sz w:val="16"/>
          <w:szCs w:val="18"/>
        </w:rPr>
        <w:t xml:space="preserve">Accidente de Trabajo: </w:t>
      </w:r>
      <w:r>
        <w:rPr>
          <w:rFonts w:cs="Arial"/>
          <w:sz w:val="16"/>
          <w:szCs w:val="18"/>
        </w:rPr>
        <w:t>Todo suceso repentino que sobrevenga por causa o con ocasión del trabajo y que produzca en el trabajador una lesión orgánica, una perturbación funcional, una invalidez o la muerte. Es también</w:t>
      </w:r>
      <w:r w:rsidR="00C90653">
        <w:rPr>
          <w:rFonts w:cs="Arial"/>
          <w:sz w:val="16"/>
          <w:szCs w:val="18"/>
        </w:rPr>
        <w:t xml:space="preserve"> </w:t>
      </w:r>
      <w:r>
        <w:rPr>
          <w:rFonts w:cs="Arial"/>
          <w:sz w:val="16"/>
          <w:szCs w:val="18"/>
        </w:rPr>
        <w:t>accidente de trabajo aquel que se produce durante la ejecución de órdenes del empleador, o durante la ejecución de una labor bajo su autoridad, y aun fuera del lugar y horas de trabajo.</w:t>
      </w:r>
    </w:p>
    <w:p w14:paraId="34BFDEEA" w14:textId="77777777" w:rsidR="009E1816" w:rsidRDefault="009E1816"/>
    <w:sectPr w:rsidR="009E1816" w:rsidSect="00AC21CC">
      <w:headerReference w:type="default" r:id="rId11"/>
      <w:pgSz w:w="11906" w:h="16838"/>
      <w:pgMar w:top="1417" w:right="1276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63FD9" w14:textId="77777777" w:rsidR="00F85D04" w:rsidRDefault="00F85D04">
      <w:r>
        <w:separator/>
      </w:r>
    </w:p>
  </w:endnote>
  <w:endnote w:type="continuationSeparator" w:id="0">
    <w:p w14:paraId="7EABF6DA" w14:textId="77777777" w:rsidR="00F85D04" w:rsidRDefault="00F8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A968E" w14:textId="77777777" w:rsidR="00F85D04" w:rsidRDefault="00F85D04">
      <w:r>
        <w:separator/>
      </w:r>
    </w:p>
  </w:footnote>
  <w:footnote w:type="continuationSeparator" w:id="0">
    <w:p w14:paraId="0ADF13A8" w14:textId="77777777" w:rsidR="00F85D04" w:rsidRDefault="00F85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EC9DE" w14:textId="08D488F5" w:rsidR="009E1816" w:rsidRDefault="00465451" w:rsidP="00465451">
    <w:pPr>
      <w:pStyle w:val="Encabezado"/>
      <w:ind w:left="2127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258ACD" wp14:editId="04939330">
              <wp:simplePos x="0" y="0"/>
              <wp:positionH relativeFrom="margin">
                <wp:posOffset>-192405</wp:posOffset>
              </wp:positionH>
              <wp:positionV relativeFrom="paragraph">
                <wp:posOffset>168275</wp:posOffset>
              </wp:positionV>
              <wp:extent cx="9251950" cy="0"/>
              <wp:effectExtent l="0" t="19050" r="2540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51950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3B24F9" id="Conector recto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5.15pt,13.25pt" to="713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" strokecolor="#a5a5a5 [2092]" strokeweight="2.25pt">
              <v:stroke joinstyle="miter"/>
              <w10:wrap anchorx="margin"/>
            </v:line>
          </w:pict>
        </mc:Fallback>
      </mc:AlternateContent>
    </w:r>
    <w:r w:rsidR="000F4B89">
      <w:rPr>
        <w:noProof/>
        <w:u w:val="single"/>
      </w:rPr>
      <w:drawing>
        <wp:anchor distT="0" distB="0" distL="114300" distR="114300" simplePos="0" relativeHeight="251659264" behindDoc="0" locked="0" layoutInCell="1" allowOverlap="1" wp14:anchorId="5354E29F" wp14:editId="5B91A90D">
          <wp:simplePos x="0" y="0"/>
          <wp:positionH relativeFrom="margin">
            <wp:posOffset>-297180</wp:posOffset>
          </wp:positionH>
          <wp:positionV relativeFrom="paragraph">
            <wp:posOffset>-208915</wp:posOffset>
          </wp:positionV>
          <wp:extent cx="1508125" cy="408940"/>
          <wp:effectExtent l="0" t="0" r="0" b="0"/>
          <wp:wrapNone/>
          <wp:docPr id="1" name="Imagen 1" descr="C:\Users\jluque\AppData\Local\Microsoft\Windows\INetCache\Content.Word\Varias versiones Nuevo logo refinado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luque\AppData\Local\Microsoft\Windows\INetCache\Content.Word\Varias versiones Nuevo logo refinado-04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00" t="32784" r="13901" b="28747"/>
                  <a:stretch/>
                </pic:blipFill>
                <pic:spPr bwMode="auto">
                  <a:xfrm>
                    <a:off x="0" y="0"/>
                    <a:ext cx="1508125" cy="4089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4B89" w:rsidRPr="00E3627C">
      <w:rPr>
        <w:rFonts w:cs="Arial"/>
        <w:sz w:val="16"/>
      </w:rPr>
      <w:t>C</w:t>
    </w:r>
    <w:r w:rsidRPr="00465451">
      <w:rPr>
        <w:rFonts w:cs="Arial"/>
        <w:sz w:val="16"/>
      </w:rPr>
      <w:t xml:space="preserve">ondiciones técnicas </w:t>
    </w:r>
    <w:r w:rsidRPr="00900724">
      <w:rPr>
        <w:rFonts w:cs="Arial"/>
        <w:color w:val="0070C0"/>
        <w:sz w:val="16"/>
      </w:rPr>
      <w:t>“</w:t>
    </w:r>
    <w:r w:rsidR="005F7DB2" w:rsidRPr="005F7DB2">
      <w:rPr>
        <w:rFonts w:cs="Arial"/>
        <w:color w:val="0070C0"/>
        <w:sz w:val="16"/>
      </w:rPr>
      <w:t>SERVICIO DE DESCARGA DE EQUIPOS EN EL NUEVO TERMINAL ILO</w:t>
    </w:r>
    <w:r w:rsidRPr="00900724">
      <w:rPr>
        <w:rFonts w:cs="Arial"/>
        <w:color w:val="0070C0"/>
        <w:sz w:val="1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14A7F"/>
    <w:multiLevelType w:val="hybridMultilevel"/>
    <w:tmpl w:val="7CEAA2A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27352"/>
    <w:multiLevelType w:val="hybridMultilevel"/>
    <w:tmpl w:val="CCCA068A"/>
    <w:lvl w:ilvl="0" w:tplc="280A000F">
      <w:start w:val="1"/>
      <w:numFmt w:val="decimal"/>
      <w:lvlText w:val="%1."/>
      <w:lvlJc w:val="left"/>
      <w:pPr>
        <w:ind w:left="1429" w:hanging="360"/>
      </w:pPr>
    </w:lvl>
    <w:lvl w:ilvl="1" w:tplc="280A0019">
      <w:start w:val="1"/>
      <w:numFmt w:val="lowerLetter"/>
      <w:lvlText w:val="%2."/>
      <w:lvlJc w:val="left"/>
      <w:pPr>
        <w:ind w:left="2149" w:hanging="360"/>
      </w:pPr>
    </w:lvl>
    <w:lvl w:ilvl="2" w:tplc="280A001B" w:tentative="1">
      <w:start w:val="1"/>
      <w:numFmt w:val="lowerRoman"/>
      <w:lvlText w:val="%3."/>
      <w:lvlJc w:val="right"/>
      <w:pPr>
        <w:ind w:left="2869" w:hanging="180"/>
      </w:pPr>
    </w:lvl>
    <w:lvl w:ilvl="3" w:tplc="280A000F" w:tentative="1">
      <w:start w:val="1"/>
      <w:numFmt w:val="decimal"/>
      <w:lvlText w:val="%4."/>
      <w:lvlJc w:val="left"/>
      <w:pPr>
        <w:ind w:left="3589" w:hanging="360"/>
      </w:pPr>
    </w:lvl>
    <w:lvl w:ilvl="4" w:tplc="280A0019" w:tentative="1">
      <w:start w:val="1"/>
      <w:numFmt w:val="lowerLetter"/>
      <w:lvlText w:val="%5."/>
      <w:lvlJc w:val="left"/>
      <w:pPr>
        <w:ind w:left="4309" w:hanging="360"/>
      </w:pPr>
    </w:lvl>
    <w:lvl w:ilvl="5" w:tplc="280A001B" w:tentative="1">
      <w:start w:val="1"/>
      <w:numFmt w:val="lowerRoman"/>
      <w:lvlText w:val="%6."/>
      <w:lvlJc w:val="right"/>
      <w:pPr>
        <w:ind w:left="5029" w:hanging="180"/>
      </w:pPr>
    </w:lvl>
    <w:lvl w:ilvl="6" w:tplc="280A000F" w:tentative="1">
      <w:start w:val="1"/>
      <w:numFmt w:val="decimal"/>
      <w:lvlText w:val="%7."/>
      <w:lvlJc w:val="left"/>
      <w:pPr>
        <w:ind w:left="5749" w:hanging="360"/>
      </w:pPr>
    </w:lvl>
    <w:lvl w:ilvl="7" w:tplc="280A0019" w:tentative="1">
      <w:start w:val="1"/>
      <w:numFmt w:val="lowerLetter"/>
      <w:lvlText w:val="%8."/>
      <w:lvlJc w:val="left"/>
      <w:pPr>
        <w:ind w:left="6469" w:hanging="360"/>
      </w:pPr>
    </w:lvl>
    <w:lvl w:ilvl="8" w:tplc="2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95902DD"/>
    <w:multiLevelType w:val="hybridMultilevel"/>
    <w:tmpl w:val="6C70950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D1089"/>
    <w:multiLevelType w:val="multilevel"/>
    <w:tmpl w:val="ED00B972"/>
    <w:lvl w:ilvl="0">
      <w:start w:val="1"/>
      <w:numFmt w:val="decimal"/>
      <w:pStyle w:val="Ttulo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27730D4"/>
    <w:multiLevelType w:val="hybridMultilevel"/>
    <w:tmpl w:val="58448982"/>
    <w:lvl w:ilvl="0" w:tplc="C7D603D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3692E"/>
    <w:multiLevelType w:val="hybridMultilevel"/>
    <w:tmpl w:val="B4EE80AC"/>
    <w:lvl w:ilvl="0" w:tplc="280A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478627B5"/>
    <w:multiLevelType w:val="hybridMultilevel"/>
    <w:tmpl w:val="E2F0BF78"/>
    <w:lvl w:ilvl="0" w:tplc="68421C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6924B44">
      <w:start w:val="3"/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509" w:hanging="180"/>
      </w:pPr>
    </w:lvl>
    <w:lvl w:ilvl="3" w:tplc="280A000F" w:tentative="1">
      <w:start w:val="1"/>
      <w:numFmt w:val="decimal"/>
      <w:lvlText w:val="%4."/>
      <w:lvlJc w:val="left"/>
      <w:pPr>
        <w:ind w:left="3229" w:hanging="360"/>
      </w:pPr>
    </w:lvl>
    <w:lvl w:ilvl="4" w:tplc="280A0019" w:tentative="1">
      <w:start w:val="1"/>
      <w:numFmt w:val="lowerLetter"/>
      <w:lvlText w:val="%5."/>
      <w:lvlJc w:val="left"/>
      <w:pPr>
        <w:ind w:left="3949" w:hanging="360"/>
      </w:pPr>
    </w:lvl>
    <w:lvl w:ilvl="5" w:tplc="280A001B" w:tentative="1">
      <w:start w:val="1"/>
      <w:numFmt w:val="lowerRoman"/>
      <w:lvlText w:val="%6."/>
      <w:lvlJc w:val="right"/>
      <w:pPr>
        <w:ind w:left="4669" w:hanging="180"/>
      </w:pPr>
    </w:lvl>
    <w:lvl w:ilvl="6" w:tplc="280A000F" w:tentative="1">
      <w:start w:val="1"/>
      <w:numFmt w:val="decimal"/>
      <w:lvlText w:val="%7."/>
      <w:lvlJc w:val="left"/>
      <w:pPr>
        <w:ind w:left="5389" w:hanging="360"/>
      </w:pPr>
    </w:lvl>
    <w:lvl w:ilvl="7" w:tplc="280A0019" w:tentative="1">
      <w:start w:val="1"/>
      <w:numFmt w:val="lowerLetter"/>
      <w:lvlText w:val="%8."/>
      <w:lvlJc w:val="left"/>
      <w:pPr>
        <w:ind w:left="6109" w:hanging="360"/>
      </w:pPr>
    </w:lvl>
    <w:lvl w:ilvl="8" w:tplc="2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2E556B4"/>
    <w:multiLevelType w:val="hybridMultilevel"/>
    <w:tmpl w:val="178A668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11C41"/>
    <w:multiLevelType w:val="hybridMultilevel"/>
    <w:tmpl w:val="2C425A88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74D6C"/>
    <w:multiLevelType w:val="hybridMultilevel"/>
    <w:tmpl w:val="4BD6BB2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E36C49E0">
      <w:start w:val="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14951AF"/>
    <w:multiLevelType w:val="hybridMultilevel"/>
    <w:tmpl w:val="D36A0530"/>
    <w:lvl w:ilvl="0" w:tplc="E36C49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488703">
    <w:abstractNumId w:val="3"/>
  </w:num>
  <w:num w:numId="2" w16cid:durableId="442067805">
    <w:abstractNumId w:val="10"/>
  </w:num>
  <w:num w:numId="3" w16cid:durableId="2098598345">
    <w:abstractNumId w:val="0"/>
  </w:num>
  <w:num w:numId="4" w16cid:durableId="310208050">
    <w:abstractNumId w:val="8"/>
  </w:num>
  <w:num w:numId="5" w16cid:durableId="2094936439">
    <w:abstractNumId w:val="4"/>
  </w:num>
  <w:num w:numId="6" w16cid:durableId="2104378599">
    <w:abstractNumId w:val="1"/>
  </w:num>
  <w:num w:numId="7" w16cid:durableId="1503542887">
    <w:abstractNumId w:val="6"/>
  </w:num>
  <w:num w:numId="8" w16cid:durableId="1771001498">
    <w:abstractNumId w:val="9"/>
  </w:num>
  <w:num w:numId="9" w16cid:durableId="470903690">
    <w:abstractNumId w:val="7"/>
  </w:num>
  <w:num w:numId="10" w16cid:durableId="488181628">
    <w:abstractNumId w:val="2"/>
  </w:num>
  <w:num w:numId="11" w16cid:durableId="12641441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816"/>
    <w:rsid w:val="000F18F5"/>
    <w:rsid w:val="000F4B89"/>
    <w:rsid w:val="00117077"/>
    <w:rsid w:val="00146F47"/>
    <w:rsid w:val="00172D44"/>
    <w:rsid w:val="00342E49"/>
    <w:rsid w:val="00465451"/>
    <w:rsid w:val="004B3C38"/>
    <w:rsid w:val="004E65B5"/>
    <w:rsid w:val="005B4BDD"/>
    <w:rsid w:val="005F7DB2"/>
    <w:rsid w:val="006E4358"/>
    <w:rsid w:val="00746C90"/>
    <w:rsid w:val="007A09D6"/>
    <w:rsid w:val="007D7AC4"/>
    <w:rsid w:val="008C2347"/>
    <w:rsid w:val="00900724"/>
    <w:rsid w:val="009D1AA7"/>
    <w:rsid w:val="009E1816"/>
    <w:rsid w:val="00A579CD"/>
    <w:rsid w:val="00A7641C"/>
    <w:rsid w:val="00AC21CC"/>
    <w:rsid w:val="00C90653"/>
    <w:rsid w:val="00CB5EAA"/>
    <w:rsid w:val="00CC672F"/>
    <w:rsid w:val="00D03F15"/>
    <w:rsid w:val="00DF3B44"/>
    <w:rsid w:val="00E64165"/>
    <w:rsid w:val="00F8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685371D"/>
  <w15:chartTrackingRefBased/>
  <w15:docId w15:val="{D0382E75-80D8-4143-97DA-AEB2E46F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s-PE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Ttulo1"/>
    <w:next w:val="Normal"/>
    <w:link w:val="Ttulo2Car"/>
    <w:qFormat/>
    <w:pPr>
      <w:keepNext w:val="0"/>
      <w:keepLines w:val="0"/>
      <w:numPr>
        <w:ilvl w:val="1"/>
        <w:numId w:val="1"/>
      </w:numPr>
      <w:spacing w:before="120" w:after="120" w:line="276" w:lineRule="auto"/>
      <w:contextualSpacing/>
      <w:jc w:val="both"/>
      <w:outlineLvl w:val="1"/>
    </w:pPr>
    <w:rPr>
      <w:rFonts w:ascii="Arial" w:eastAsia="Times New Roman" w:hAnsi="Arial" w:cs="Arial"/>
      <w:b/>
      <w:color w:val="auto"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Pr>
      <w:rFonts w:ascii="Arial" w:eastAsia="Times New Roman" w:hAnsi="Arial" w:cs="Arial"/>
      <w:b/>
      <w:sz w:val="20"/>
      <w:szCs w:val="20"/>
      <w:lang w:eastAsia="es-PE"/>
    </w:rPr>
  </w:style>
  <w:style w:type="paragraph" w:styleId="Ttulo">
    <w:name w:val="Title"/>
    <w:basedOn w:val="Ttulo1"/>
    <w:link w:val="TtuloCar"/>
    <w:qFormat/>
    <w:pPr>
      <w:keepNext w:val="0"/>
      <w:keepLines w:val="0"/>
      <w:numPr>
        <w:numId w:val="1"/>
      </w:numPr>
      <w:spacing w:after="240" w:line="276" w:lineRule="auto"/>
      <w:contextualSpacing/>
      <w:jc w:val="both"/>
    </w:pPr>
    <w:rPr>
      <w:rFonts w:ascii="Arial" w:eastAsia="Times New Roman" w:hAnsi="Arial" w:cs="Arial"/>
      <w:b/>
      <w:color w:val="auto"/>
      <w:sz w:val="20"/>
      <w:szCs w:val="20"/>
    </w:rPr>
  </w:style>
  <w:style w:type="character" w:customStyle="1" w:styleId="TtuloCar">
    <w:name w:val="Título Car"/>
    <w:basedOn w:val="Fuentedeprrafopredeter"/>
    <w:link w:val="Ttulo"/>
    <w:rPr>
      <w:rFonts w:ascii="Arial" w:eastAsia="Times New Roman" w:hAnsi="Arial" w:cs="Arial"/>
      <w:b/>
      <w:sz w:val="20"/>
      <w:szCs w:val="20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PE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Pr>
      <w:rFonts w:ascii="Arial" w:eastAsia="Times New Roman" w:hAnsi="Arial" w:cs="Times New Roman"/>
      <w:sz w:val="20"/>
      <w:szCs w:val="20"/>
      <w:lang w:eastAsia="es-PE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Pr>
      <w:rFonts w:ascii="Arial" w:eastAsia="Times New Roman" w:hAnsi="Arial" w:cs="Times New Roman"/>
      <w:sz w:val="20"/>
      <w:szCs w:val="20"/>
      <w:lang w:eastAsia="es-PE"/>
    </w:rPr>
  </w:style>
  <w:style w:type="character" w:customStyle="1" w:styleId="Ttulo5Car">
    <w:name w:val="Título 5 Car"/>
    <w:basedOn w:val="Fuentedeprrafopredeter"/>
    <w:link w:val="Ttulo5"/>
    <w:uiPriority w:val="99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es-PE"/>
    </w:rPr>
  </w:style>
  <w:style w:type="table" w:styleId="Tablaconcuadrcula">
    <w:name w:val="Table Grid"/>
    <w:basedOn w:val="Tablanormal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Párrafo de lista2,Párrafo de lista21,Cuadro 2-1,Bolita,BOLA,Párrafo,Título Tablas y Figuras,N°,Iz - Párrafo de lista,Sivsa Parrafo,Titulo de Fígura,TITULO A,Titulo parrafo,3,Punto,Fundamentacion,Bulleted List,Lista vistosa - Énfasis 11"/>
    <w:basedOn w:val="Normal"/>
    <w:link w:val="PrrafodelistaCar"/>
    <w:uiPriority w:val="34"/>
    <w:qFormat/>
    <w:pPr>
      <w:ind w:left="720"/>
      <w:contextualSpacing/>
    </w:pPr>
  </w:style>
  <w:style w:type="character" w:customStyle="1" w:styleId="PrrafodelistaCar">
    <w:name w:val="Párrafo de lista Car"/>
    <w:aliases w:val="Párrafo de lista2 Car,Párrafo de lista21 Car,Cuadro 2-1 Car,Bolita Car,BOLA Car,Párrafo Car,Título Tablas y Figuras Car,N° Car,Iz - Párrafo de lista Car,Sivsa Parrafo Car,Titulo de Fígura Car,TITULO A Car,Titulo parrafo Car,3 Car"/>
    <w:link w:val="Prrafodelista"/>
    <w:uiPriority w:val="34"/>
    <w:qFormat/>
    <w:rPr>
      <w:rFonts w:ascii="Arial" w:eastAsia="Times New Roman" w:hAnsi="Arial" w:cs="Times New Roman"/>
      <w:sz w:val="20"/>
      <w:szCs w:val="20"/>
      <w:lang w:eastAsia="es-PE"/>
    </w:rPr>
  </w:style>
  <w:style w:type="paragraph" w:customStyle="1" w:styleId="Default">
    <w:name w:val="Default"/>
    <w:rsid w:val="00146F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b9eb55-f0e5-4302-8024-a08588329d28">
      <Terms xmlns="http://schemas.microsoft.com/office/infopath/2007/PartnerControls"/>
    </lcf76f155ced4ddcb4097134ff3c332f>
    <TaxCatchAll xmlns="3d794afd-a03d-44ca-8793-283b62ba6acb" xsi:nil="true"/>
    <SharedWithUsers xmlns="3d794afd-a03d-44ca-8793-283b62ba6acb">
      <UserInfo>
        <DisplayName>Maria Karina Cabrera Portales</DisplayName>
        <AccountId>116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8139E7F90FC744B67883E294F823FE" ma:contentTypeVersion="14" ma:contentTypeDescription="Crear nuevo documento." ma:contentTypeScope="" ma:versionID="82024f0ab7556f8486a60f0d2575d741">
  <xsd:schema xmlns:xsd="http://www.w3.org/2001/XMLSchema" xmlns:xs="http://www.w3.org/2001/XMLSchema" xmlns:p="http://schemas.microsoft.com/office/2006/metadata/properties" xmlns:ns2="14b9eb55-f0e5-4302-8024-a08588329d28" xmlns:ns3="3d794afd-a03d-44ca-8793-283b62ba6acb" targetNamespace="http://schemas.microsoft.com/office/2006/metadata/properties" ma:root="true" ma:fieldsID="60e7de5618e3b4fbf3c572ffe85aebe3" ns2:_="" ns3:_="">
    <xsd:import namespace="14b9eb55-f0e5-4302-8024-a08588329d28"/>
    <xsd:import namespace="3d794afd-a03d-44ca-8793-283b62ba6a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9eb55-f0e5-4302-8024-a08588329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efde4cf7-93b5-49b4-a668-6dc439377a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94afd-a03d-44ca-8793-283b62ba6a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7f22bb-6b75-40db-bbca-c31f328eb77e}" ma:internalName="TaxCatchAll" ma:showField="CatchAllData" ma:web="3d794afd-a03d-44ca-8793-283b62ba6a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DA802-C046-4384-9A6F-CFD4D76CDE19}">
  <ds:schemaRefs>
    <ds:schemaRef ds:uri="http://schemas.microsoft.com/office/2006/metadata/properties"/>
    <ds:schemaRef ds:uri="http://schemas.microsoft.com/office/infopath/2007/PartnerControls"/>
    <ds:schemaRef ds:uri="14b9eb55-f0e5-4302-8024-a08588329d28"/>
    <ds:schemaRef ds:uri="3d794afd-a03d-44ca-8793-283b62ba6acb"/>
  </ds:schemaRefs>
</ds:datastoreItem>
</file>

<file path=customXml/itemProps2.xml><?xml version="1.0" encoding="utf-8"?>
<ds:datastoreItem xmlns:ds="http://schemas.openxmlformats.org/officeDocument/2006/customXml" ds:itemID="{27FB0431-EEB1-4DF5-9ED0-65096E5B1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6763-CF59-4493-97B2-CC2672B10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b9eb55-f0e5-4302-8024-a08588329d28"/>
    <ds:schemaRef ds:uri="3d794afd-a03d-44ca-8793-283b62ba6a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DDBC42-7BA6-4629-987C-E6B321CD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1805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Paulo Cesar Davalos Flores</cp:lastModifiedBy>
  <cp:revision>5</cp:revision>
  <dcterms:created xsi:type="dcterms:W3CDTF">2023-08-31T15:01:00Z</dcterms:created>
  <dcterms:modified xsi:type="dcterms:W3CDTF">2023-11-17T22:40:00Z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0x010100168139E7F90FC744B67883E294F823FE</vt:lpwstr>
  </property>
</Properties>
</file>