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6775A">
        <w:rPr>
          <w:rFonts w:ascii="Arial" w:hAnsi="Arial" w:cs="Arial"/>
        </w:rPr>
        <w:t>“</w:t>
      </w:r>
      <w:r w:rsidR="00A6775A" w:rsidRPr="00A6775A">
        <w:rPr>
          <w:rFonts w:ascii="Arial" w:hAnsi="Arial" w:cs="Arial"/>
        </w:rPr>
        <w:t xml:space="preserve">SERVICIO DE </w:t>
      </w:r>
      <w:r w:rsidR="008C56D1" w:rsidRPr="00A6775A">
        <w:rPr>
          <w:rFonts w:ascii="Arial" w:hAnsi="Arial" w:cs="Arial"/>
        </w:rPr>
        <w:t>REPARACIÓN</w:t>
      </w:r>
      <w:r w:rsidR="00A6775A" w:rsidRPr="00A6775A">
        <w:rPr>
          <w:rFonts w:ascii="Arial" w:hAnsi="Arial" w:cs="Arial"/>
        </w:rPr>
        <w:t xml:space="preserve"> DE 58 </w:t>
      </w:r>
      <w:r w:rsidR="008C56D1" w:rsidRPr="00A6775A">
        <w:rPr>
          <w:rFonts w:ascii="Arial" w:hAnsi="Arial" w:cs="Arial"/>
        </w:rPr>
        <w:t>ANOMALÍAS</w:t>
      </w:r>
      <w:r w:rsidR="00A6775A" w:rsidRPr="00A6775A">
        <w:rPr>
          <w:rFonts w:ascii="Arial" w:hAnsi="Arial" w:cs="Arial"/>
        </w:rPr>
        <w:t xml:space="preserve"> POR PERDIDA DE ESPESOR MAYORES AL 60% DETECTADAS CON EL RASPATUBO INSTRUMENTADO (LIN SCAN) EN EL TRAMO I DEL ONP</w:t>
      </w:r>
      <w:r w:rsidR="00A6775A">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3F2C28" w:rsidRPr="003F2C28">
        <w:rPr>
          <w:rFonts w:ascii="Arial" w:hAnsi="Arial"/>
          <w:bCs/>
        </w:rPr>
        <w:t xml:space="preserve">“SERVICIO DE </w:t>
      </w:r>
      <w:r w:rsidR="008C56D1" w:rsidRPr="003F2C28">
        <w:rPr>
          <w:rFonts w:ascii="Arial" w:hAnsi="Arial"/>
          <w:bCs/>
        </w:rPr>
        <w:t>REPARACIÓN</w:t>
      </w:r>
      <w:r w:rsidR="003F2C28" w:rsidRPr="003F2C28">
        <w:rPr>
          <w:rFonts w:ascii="Arial" w:hAnsi="Arial"/>
          <w:bCs/>
        </w:rPr>
        <w:t xml:space="preserve"> DE 58 </w:t>
      </w:r>
      <w:r w:rsidR="008C56D1" w:rsidRPr="003F2C28">
        <w:rPr>
          <w:rFonts w:ascii="Arial" w:hAnsi="Arial"/>
          <w:bCs/>
        </w:rPr>
        <w:t>ANOMALÍAS</w:t>
      </w:r>
      <w:r w:rsidR="003F2C28" w:rsidRPr="003F2C28">
        <w:rPr>
          <w:rFonts w:ascii="Arial" w:hAnsi="Arial"/>
          <w:bCs/>
        </w:rPr>
        <w:t xml:space="preserve"> POR PERDIDA DE ESPESOR MAYORES AL 60% DETECTADAS CON EL RASPATUBO INSTRUMENTADO (LIN SCAN) EN EL TRAMO I DEL ONP”</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Pr="003E0023"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a </w:t>
      </w:r>
      <w:r w:rsidR="00275BB5">
        <w:rPr>
          <w:rFonts w:ascii="Arial" w:hAnsi="Arial"/>
          <w:lang w:eastAsia="es-ES"/>
        </w:rPr>
        <w:t>precios Unitarios</w:t>
      </w:r>
      <w:r w:rsidRPr="003E0023">
        <w:rPr>
          <w:rFonts w:ascii="Arial" w:hAnsi="Arial"/>
          <w:lang w:eastAsia="es-ES"/>
        </w:rPr>
        <w:t>.</w:t>
      </w:r>
    </w:p>
    <w:p w:rsidR="00FA4E34" w:rsidRDefault="00FA4E34"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tbl>
      <w:tblPr>
        <w:tblStyle w:val="Tablaconcuadrcula"/>
        <w:tblW w:w="0" w:type="auto"/>
        <w:tblLook w:val="04A0" w:firstRow="1" w:lastRow="0" w:firstColumn="1" w:lastColumn="0" w:noHBand="0" w:noVBand="1"/>
      </w:tblPr>
      <w:tblGrid>
        <w:gridCol w:w="722"/>
        <w:gridCol w:w="3878"/>
        <w:gridCol w:w="1125"/>
        <w:gridCol w:w="1289"/>
        <w:gridCol w:w="967"/>
        <w:gridCol w:w="1079"/>
      </w:tblGrid>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val="es-PE" w:eastAsia="es-ES"/>
              </w:rPr>
            </w:pPr>
            <w:r w:rsidRPr="008C56D1">
              <w:rPr>
                <w:rFonts w:ascii="Arial" w:hAnsi="Arial"/>
                <w:b/>
                <w:bCs/>
                <w:lang w:eastAsia="es-ES"/>
              </w:rPr>
              <w:t>ITEM</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DESCRIPCIÓN DE LAS PARTIDAS</w:t>
            </w:r>
          </w:p>
        </w:tc>
        <w:tc>
          <w:tcPr>
            <w:tcW w:w="1125"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xml:space="preserve">UNIDAD </w:t>
            </w:r>
          </w:p>
        </w:tc>
        <w:tc>
          <w:tcPr>
            <w:tcW w:w="128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CANTIDAD</w:t>
            </w:r>
          </w:p>
        </w:tc>
        <w:tc>
          <w:tcPr>
            <w:tcW w:w="967"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P.U</w:t>
            </w:r>
          </w:p>
        </w:tc>
        <w:tc>
          <w:tcPr>
            <w:tcW w:w="1079"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SUB TOTAL</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1</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FACILIDADES</w:t>
            </w:r>
          </w:p>
        </w:tc>
        <w:tc>
          <w:tcPr>
            <w:tcW w:w="4460" w:type="dxa"/>
            <w:gridSpan w:val="4"/>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Movilización y Desmovilización</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Glb</w:t>
            </w:r>
            <w:proofErr w:type="spellEnd"/>
            <w:r w:rsidRPr="008C56D1">
              <w:rPr>
                <w:rFonts w:ascii="Arial" w:hAnsi="Arial"/>
                <w:lang w:eastAsia="es-ES"/>
              </w:rPr>
              <w:t>.</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Campamento</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Glb</w:t>
            </w:r>
            <w:proofErr w:type="spellEnd"/>
            <w:r w:rsidRPr="008C56D1">
              <w:rPr>
                <w:rFonts w:ascii="Arial" w:hAnsi="Arial"/>
                <w:lang w:eastAsia="es-ES"/>
              </w:rPr>
              <w:t>.</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1.3</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Catering</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Glb</w:t>
            </w:r>
            <w:proofErr w:type="spellEnd"/>
            <w:r w:rsidRPr="008C56D1">
              <w:rPr>
                <w:rFonts w:ascii="Arial" w:hAnsi="Arial"/>
                <w:lang w:eastAsia="es-ES"/>
              </w:rPr>
              <w:t>.</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2</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OBRAS PROVISIONALES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Mejoramiento de acceso a zona de trabajo (ancho = 2m)</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33,841.00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Limpieza de canal de flotación y/o zanja de empuje</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27,915.00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2.3</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Plataformas para Inspección, soldeo y pintado de camisas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m2</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1,101.60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2.4</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Zona de descarga</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2.5</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Habilitación de helipuerto</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3</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ARMADO DE PÓRTICOS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3.1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Habilitación de madera y construcción de pórticos</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206.00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3.2</w:t>
            </w:r>
          </w:p>
        </w:tc>
        <w:tc>
          <w:tcPr>
            <w:tcW w:w="3878"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lzaje</w:t>
            </w:r>
            <w:proofErr w:type="spellEnd"/>
            <w:r w:rsidRPr="008C56D1">
              <w:rPr>
                <w:rFonts w:ascii="Arial" w:hAnsi="Arial"/>
                <w:lang w:eastAsia="es-ES"/>
              </w:rPr>
              <w:t xml:space="preserve"> de tubería</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206.00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4</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INSTALACIÓN DE CAMISETA Y PINTADO</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Limpieza mecánica y pintado de la tubería</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115.50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Enmasillado de </w:t>
            </w:r>
            <w:proofErr w:type="spellStart"/>
            <w:r w:rsidRPr="008C56D1">
              <w:rPr>
                <w:rFonts w:ascii="Arial" w:hAnsi="Arial"/>
                <w:lang w:eastAsia="es-ES"/>
              </w:rPr>
              <w:t>pit</w:t>
            </w:r>
            <w:proofErr w:type="spellEnd"/>
            <w:r w:rsidRPr="008C56D1">
              <w:rPr>
                <w:rFonts w:ascii="Arial" w:hAnsi="Arial"/>
                <w:lang w:eastAsia="es-ES"/>
              </w:rPr>
              <w:t xml:space="preserve"> de corrosión</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Gln</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4.3</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Limpieza mecánica y pintado de juntas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J</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160.00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4.4</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Suministro de camisa de 1.0m de longitud</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94.00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4.5</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Habilitación y amado de camisa</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94.00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4.5</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Soldeo de RMB</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548.00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4.6</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Inyección de resina</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Gln</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153.00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4.7</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Pintado de camisa Ø24"</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110.00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5</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EXCAVACIÓN</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Excavación de zanja (incluye tapado)</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m3</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523.93</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5.2</w:t>
            </w:r>
          </w:p>
        </w:tc>
        <w:tc>
          <w:tcPr>
            <w:tcW w:w="3878"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Entibamiento</w:t>
            </w:r>
            <w:proofErr w:type="spellEnd"/>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ml</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121.00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6</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TRABAJOS FINALES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6.1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Desarmado de pórticos y campamentos</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206.00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7</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CONTENCIÓN DE DERRAMES</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lastRenderedPageBreak/>
              <w:t>7.1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Kit de contingencia Terreno Firme</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22.00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7 2 </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Kit de contingencia zanja de empuje</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7.3</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Kit de contingencia canal de flotación</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34.00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8</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TRANSPORTE FLUVIAL</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8.1</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Transporte fluvial - Bote de 5 </w:t>
            </w:r>
            <w:proofErr w:type="spellStart"/>
            <w:r w:rsidRPr="008C56D1">
              <w:rPr>
                <w:rFonts w:ascii="Arial" w:hAnsi="Arial"/>
                <w:lang w:eastAsia="es-ES"/>
              </w:rPr>
              <w:t>Tn</w:t>
            </w:r>
            <w:proofErr w:type="spellEnd"/>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D-M</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230.00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8.2</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Transporte fluvial - Bote de 2 </w:t>
            </w:r>
            <w:proofErr w:type="spellStart"/>
            <w:r w:rsidRPr="008C56D1">
              <w:rPr>
                <w:rFonts w:ascii="Arial" w:hAnsi="Arial"/>
                <w:lang w:eastAsia="es-ES"/>
              </w:rPr>
              <w:t>Tn</w:t>
            </w:r>
            <w:proofErr w:type="spellEnd"/>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D-M</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350.00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8.3</w:t>
            </w:r>
          </w:p>
        </w:tc>
        <w:tc>
          <w:tcPr>
            <w:tcW w:w="3878"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Transporte fluvial - peque</w:t>
            </w:r>
          </w:p>
        </w:tc>
        <w:tc>
          <w:tcPr>
            <w:tcW w:w="1125"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D-M</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230.00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9</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SISTEMA DE COMUNICACIÓN</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Glb</w:t>
            </w:r>
            <w:proofErr w:type="spellEnd"/>
            <w:r w:rsidRPr="008C56D1">
              <w:rPr>
                <w:rFonts w:ascii="Arial" w:hAnsi="Arial"/>
                <w:lang w:eastAsia="es-ES"/>
              </w:rPr>
              <w:t>.</w:t>
            </w:r>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1.00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10</w:t>
            </w:r>
          </w:p>
        </w:tc>
        <w:tc>
          <w:tcPr>
            <w:tcW w:w="3878"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INFORME FINAL</w:t>
            </w:r>
          </w:p>
        </w:tc>
        <w:tc>
          <w:tcPr>
            <w:tcW w:w="1125" w:type="dxa"/>
            <w:hideMark/>
          </w:tcPr>
          <w:p w:rsidR="008C56D1" w:rsidRPr="008C56D1" w:rsidRDefault="008C56D1" w:rsidP="008C56D1">
            <w:pPr>
              <w:suppressAutoHyphens/>
              <w:ind w:right="28"/>
              <w:jc w:val="both"/>
              <w:rPr>
                <w:rFonts w:ascii="Arial" w:hAnsi="Arial"/>
                <w:lang w:eastAsia="es-ES"/>
              </w:rPr>
            </w:pPr>
            <w:proofErr w:type="spellStart"/>
            <w:r w:rsidRPr="008C56D1">
              <w:rPr>
                <w:rFonts w:ascii="Arial" w:hAnsi="Arial"/>
                <w:lang w:eastAsia="es-ES"/>
              </w:rPr>
              <w:t>Und</w:t>
            </w:r>
            <w:proofErr w:type="spellEnd"/>
          </w:p>
        </w:tc>
        <w:tc>
          <w:tcPr>
            <w:tcW w:w="128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58.00</w:t>
            </w:r>
          </w:p>
        </w:tc>
        <w:tc>
          <w:tcPr>
            <w:tcW w:w="967"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vMerge w:val="restart"/>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c>
          <w:tcPr>
            <w:tcW w:w="3878" w:type="dxa"/>
            <w:vMerge w:val="restart"/>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p w:rsidR="008C56D1" w:rsidRPr="008C56D1" w:rsidRDefault="008C56D1" w:rsidP="008C56D1">
            <w:pPr>
              <w:suppressAutoHyphens/>
              <w:ind w:right="28"/>
              <w:jc w:val="both"/>
              <w:rPr>
                <w:rFonts w:ascii="Arial" w:hAnsi="Arial"/>
                <w:lang w:eastAsia="es-ES"/>
              </w:rPr>
            </w:pPr>
            <w:r w:rsidRPr="008C56D1">
              <w:rPr>
                <w:rFonts w:ascii="Arial" w:hAnsi="Arial"/>
                <w:lang w:eastAsia="es-ES"/>
              </w:rPr>
              <w:t>NOTA:</w:t>
            </w:r>
          </w:p>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*El </w:t>
            </w:r>
            <w:r w:rsidRPr="008C56D1">
              <w:rPr>
                <w:rFonts w:ascii="Arial" w:hAnsi="Arial"/>
                <w:b/>
                <w:bCs/>
                <w:lang w:eastAsia="es-ES"/>
              </w:rPr>
              <w:t>Sub Total</w:t>
            </w:r>
            <w:r w:rsidRPr="008C56D1">
              <w:rPr>
                <w:rFonts w:ascii="Arial" w:hAnsi="Arial"/>
                <w:lang w:eastAsia="es-ES"/>
              </w:rPr>
              <w:t>, es la suma del costo directo + Gastos Generales + Utilidades</w:t>
            </w:r>
          </w:p>
          <w:p w:rsidR="008C56D1" w:rsidRPr="008C56D1" w:rsidRDefault="008C56D1" w:rsidP="008C56D1">
            <w:pPr>
              <w:suppressAutoHyphens/>
              <w:ind w:right="28"/>
              <w:jc w:val="both"/>
              <w:rPr>
                <w:rFonts w:ascii="Arial" w:hAnsi="Arial"/>
                <w:lang w:eastAsia="es-ES"/>
              </w:rPr>
            </w:pPr>
            <w:r w:rsidRPr="008C56D1">
              <w:rPr>
                <w:rFonts w:ascii="Arial" w:hAnsi="Arial"/>
                <w:lang w:eastAsia="es-ES"/>
              </w:rPr>
              <w:t xml:space="preserve">* El </w:t>
            </w:r>
            <w:r w:rsidRPr="008C56D1">
              <w:rPr>
                <w:rFonts w:ascii="Arial" w:hAnsi="Arial"/>
                <w:b/>
                <w:bCs/>
                <w:lang w:eastAsia="es-ES"/>
              </w:rPr>
              <w:t>Precio Total</w:t>
            </w:r>
            <w:r w:rsidRPr="008C56D1">
              <w:rPr>
                <w:rFonts w:ascii="Arial" w:hAnsi="Arial"/>
                <w:lang w:eastAsia="es-ES"/>
              </w:rPr>
              <w:t xml:space="preserve"> </w:t>
            </w:r>
            <w:r w:rsidRPr="008C56D1">
              <w:rPr>
                <w:rFonts w:ascii="Arial" w:hAnsi="Arial"/>
                <w:b/>
                <w:bCs/>
                <w:lang w:eastAsia="es-ES"/>
              </w:rPr>
              <w:t>(S/)</w:t>
            </w:r>
            <w:r w:rsidRPr="008C56D1">
              <w:rPr>
                <w:rFonts w:ascii="Arial" w:hAnsi="Arial"/>
                <w:lang w:eastAsia="es-ES"/>
              </w:rPr>
              <w:t xml:space="preserve"> es la suma de: Sub Total + IGV y debe tener (02) decimales aplicando redondeo.</w:t>
            </w:r>
          </w:p>
        </w:tc>
        <w:tc>
          <w:tcPr>
            <w:tcW w:w="3381" w:type="dxa"/>
            <w:gridSpan w:val="3"/>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COSTO DIRECTO</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30"/>
        </w:trPr>
        <w:tc>
          <w:tcPr>
            <w:tcW w:w="722" w:type="dxa"/>
            <w:vMerge/>
            <w:hideMark/>
          </w:tcPr>
          <w:p w:rsidR="008C56D1" w:rsidRPr="008C56D1" w:rsidRDefault="008C56D1" w:rsidP="008C56D1">
            <w:pPr>
              <w:suppressAutoHyphens/>
              <w:ind w:right="28"/>
              <w:jc w:val="both"/>
              <w:rPr>
                <w:rFonts w:ascii="Arial" w:hAnsi="Arial"/>
                <w:lang w:eastAsia="es-ES"/>
              </w:rPr>
            </w:pPr>
          </w:p>
        </w:tc>
        <w:tc>
          <w:tcPr>
            <w:tcW w:w="3878" w:type="dxa"/>
            <w:vMerge/>
            <w:hideMark/>
          </w:tcPr>
          <w:p w:rsidR="008C56D1" w:rsidRPr="008C56D1" w:rsidRDefault="008C56D1" w:rsidP="008C56D1">
            <w:pPr>
              <w:suppressAutoHyphens/>
              <w:ind w:right="28"/>
              <w:jc w:val="both"/>
              <w:rPr>
                <w:rFonts w:ascii="Arial" w:hAnsi="Arial"/>
                <w:lang w:eastAsia="es-ES"/>
              </w:rPr>
            </w:pPr>
          </w:p>
        </w:tc>
        <w:tc>
          <w:tcPr>
            <w:tcW w:w="2414" w:type="dxa"/>
            <w:gridSpan w:val="2"/>
            <w:hideMark/>
          </w:tcPr>
          <w:p w:rsidR="008C56D1" w:rsidRPr="008C56D1" w:rsidRDefault="008C56D1" w:rsidP="008C56D1">
            <w:pPr>
              <w:suppressAutoHyphens/>
              <w:ind w:right="28"/>
              <w:jc w:val="both"/>
              <w:rPr>
                <w:rFonts w:ascii="Arial" w:hAnsi="Arial"/>
                <w:b/>
                <w:bCs/>
                <w:lang w:eastAsia="es-ES"/>
              </w:rPr>
            </w:pPr>
            <w:proofErr w:type="spellStart"/>
            <w:r w:rsidRPr="008C56D1">
              <w:rPr>
                <w:rFonts w:ascii="Arial" w:hAnsi="Arial"/>
                <w:b/>
                <w:bCs/>
                <w:lang w:eastAsia="es-ES"/>
              </w:rPr>
              <w:t>Gutos</w:t>
            </w:r>
            <w:proofErr w:type="spellEnd"/>
            <w:r w:rsidRPr="008C56D1">
              <w:rPr>
                <w:rFonts w:ascii="Arial" w:hAnsi="Arial"/>
                <w:b/>
                <w:bCs/>
                <w:lang w:eastAsia="es-ES"/>
              </w:rPr>
              <w:t xml:space="preserve"> Generales</w:t>
            </w:r>
          </w:p>
        </w:tc>
        <w:tc>
          <w:tcPr>
            <w:tcW w:w="967"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vMerge/>
            <w:hideMark/>
          </w:tcPr>
          <w:p w:rsidR="008C56D1" w:rsidRPr="008C56D1" w:rsidRDefault="008C56D1" w:rsidP="008C56D1">
            <w:pPr>
              <w:suppressAutoHyphens/>
              <w:ind w:right="28"/>
              <w:jc w:val="both"/>
              <w:rPr>
                <w:rFonts w:ascii="Arial" w:hAnsi="Arial"/>
                <w:lang w:eastAsia="es-ES"/>
              </w:rPr>
            </w:pPr>
          </w:p>
        </w:tc>
        <w:tc>
          <w:tcPr>
            <w:tcW w:w="3878" w:type="dxa"/>
            <w:vMerge/>
            <w:hideMark/>
          </w:tcPr>
          <w:p w:rsidR="008C56D1" w:rsidRPr="008C56D1" w:rsidRDefault="008C56D1" w:rsidP="008C56D1">
            <w:pPr>
              <w:suppressAutoHyphens/>
              <w:ind w:right="28"/>
              <w:jc w:val="both"/>
              <w:rPr>
                <w:rFonts w:ascii="Arial" w:hAnsi="Arial"/>
                <w:lang w:eastAsia="es-ES"/>
              </w:rPr>
            </w:pPr>
          </w:p>
        </w:tc>
        <w:tc>
          <w:tcPr>
            <w:tcW w:w="2414" w:type="dxa"/>
            <w:gridSpan w:val="2"/>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Utilidades</w:t>
            </w:r>
          </w:p>
        </w:tc>
        <w:tc>
          <w:tcPr>
            <w:tcW w:w="967"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     %)</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vMerge/>
            <w:hideMark/>
          </w:tcPr>
          <w:p w:rsidR="008C56D1" w:rsidRPr="008C56D1" w:rsidRDefault="008C56D1" w:rsidP="008C56D1">
            <w:pPr>
              <w:suppressAutoHyphens/>
              <w:ind w:right="28"/>
              <w:jc w:val="both"/>
              <w:rPr>
                <w:rFonts w:ascii="Arial" w:hAnsi="Arial"/>
                <w:lang w:eastAsia="es-ES"/>
              </w:rPr>
            </w:pPr>
          </w:p>
        </w:tc>
        <w:tc>
          <w:tcPr>
            <w:tcW w:w="3878" w:type="dxa"/>
            <w:vMerge/>
            <w:hideMark/>
          </w:tcPr>
          <w:p w:rsidR="008C56D1" w:rsidRPr="008C56D1" w:rsidRDefault="008C56D1" w:rsidP="008C56D1">
            <w:pPr>
              <w:suppressAutoHyphens/>
              <w:ind w:right="28"/>
              <w:jc w:val="both"/>
              <w:rPr>
                <w:rFonts w:ascii="Arial" w:hAnsi="Arial"/>
                <w:lang w:eastAsia="es-ES"/>
              </w:rPr>
            </w:pPr>
          </w:p>
        </w:tc>
        <w:tc>
          <w:tcPr>
            <w:tcW w:w="3381" w:type="dxa"/>
            <w:gridSpan w:val="3"/>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SUB TOTAL</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vMerge/>
            <w:hideMark/>
          </w:tcPr>
          <w:p w:rsidR="008C56D1" w:rsidRPr="008C56D1" w:rsidRDefault="008C56D1" w:rsidP="008C56D1">
            <w:pPr>
              <w:suppressAutoHyphens/>
              <w:ind w:right="28"/>
              <w:jc w:val="both"/>
              <w:rPr>
                <w:rFonts w:ascii="Arial" w:hAnsi="Arial"/>
                <w:lang w:eastAsia="es-ES"/>
              </w:rPr>
            </w:pPr>
          </w:p>
        </w:tc>
        <w:tc>
          <w:tcPr>
            <w:tcW w:w="3878" w:type="dxa"/>
            <w:vMerge/>
            <w:hideMark/>
          </w:tcPr>
          <w:p w:rsidR="008C56D1" w:rsidRPr="008C56D1" w:rsidRDefault="008C56D1" w:rsidP="008C56D1">
            <w:pPr>
              <w:suppressAutoHyphens/>
              <w:ind w:right="28"/>
              <w:jc w:val="both"/>
              <w:rPr>
                <w:rFonts w:ascii="Arial" w:hAnsi="Arial"/>
                <w:lang w:eastAsia="es-ES"/>
              </w:rPr>
            </w:pPr>
          </w:p>
        </w:tc>
        <w:tc>
          <w:tcPr>
            <w:tcW w:w="2414" w:type="dxa"/>
            <w:gridSpan w:val="2"/>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IGV</w:t>
            </w:r>
          </w:p>
        </w:tc>
        <w:tc>
          <w:tcPr>
            <w:tcW w:w="967" w:type="dxa"/>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18%</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r w:rsidR="008C56D1" w:rsidRPr="008C56D1" w:rsidTr="008C56D1">
        <w:trPr>
          <w:trHeight w:val="315"/>
        </w:trPr>
        <w:tc>
          <w:tcPr>
            <w:tcW w:w="722" w:type="dxa"/>
            <w:vMerge/>
            <w:hideMark/>
          </w:tcPr>
          <w:p w:rsidR="008C56D1" w:rsidRPr="008C56D1" w:rsidRDefault="008C56D1" w:rsidP="008C56D1">
            <w:pPr>
              <w:suppressAutoHyphens/>
              <w:ind w:right="28"/>
              <w:jc w:val="both"/>
              <w:rPr>
                <w:rFonts w:ascii="Arial" w:hAnsi="Arial"/>
                <w:lang w:eastAsia="es-ES"/>
              </w:rPr>
            </w:pPr>
          </w:p>
        </w:tc>
        <w:tc>
          <w:tcPr>
            <w:tcW w:w="3878" w:type="dxa"/>
            <w:vMerge/>
            <w:hideMark/>
          </w:tcPr>
          <w:p w:rsidR="008C56D1" w:rsidRPr="008C56D1" w:rsidRDefault="008C56D1" w:rsidP="008C56D1">
            <w:pPr>
              <w:suppressAutoHyphens/>
              <w:ind w:right="28"/>
              <w:jc w:val="both"/>
              <w:rPr>
                <w:rFonts w:ascii="Arial" w:hAnsi="Arial"/>
                <w:lang w:eastAsia="es-ES"/>
              </w:rPr>
            </w:pPr>
          </w:p>
        </w:tc>
        <w:tc>
          <w:tcPr>
            <w:tcW w:w="3381" w:type="dxa"/>
            <w:gridSpan w:val="3"/>
            <w:hideMark/>
          </w:tcPr>
          <w:p w:rsidR="008C56D1" w:rsidRPr="008C56D1" w:rsidRDefault="008C56D1" w:rsidP="008C56D1">
            <w:pPr>
              <w:suppressAutoHyphens/>
              <w:ind w:right="28"/>
              <w:jc w:val="both"/>
              <w:rPr>
                <w:rFonts w:ascii="Arial" w:hAnsi="Arial"/>
                <w:b/>
                <w:bCs/>
                <w:lang w:eastAsia="es-ES"/>
              </w:rPr>
            </w:pPr>
            <w:r w:rsidRPr="008C56D1">
              <w:rPr>
                <w:rFonts w:ascii="Arial" w:hAnsi="Arial"/>
                <w:b/>
                <w:bCs/>
                <w:lang w:eastAsia="es-ES"/>
              </w:rPr>
              <w:t>TOTAL</w:t>
            </w:r>
          </w:p>
        </w:tc>
        <w:tc>
          <w:tcPr>
            <w:tcW w:w="1079" w:type="dxa"/>
            <w:hideMark/>
          </w:tcPr>
          <w:p w:rsidR="008C56D1" w:rsidRPr="008C56D1" w:rsidRDefault="008C56D1" w:rsidP="008C56D1">
            <w:pPr>
              <w:suppressAutoHyphens/>
              <w:ind w:right="28"/>
              <w:jc w:val="both"/>
              <w:rPr>
                <w:rFonts w:ascii="Arial" w:hAnsi="Arial"/>
                <w:lang w:eastAsia="es-ES"/>
              </w:rPr>
            </w:pPr>
            <w:r w:rsidRPr="008C56D1">
              <w:rPr>
                <w:rFonts w:ascii="Arial" w:hAnsi="Arial"/>
                <w:lang w:eastAsia="es-ES"/>
              </w:rPr>
              <w:t> </w:t>
            </w:r>
          </w:p>
        </w:tc>
      </w:tr>
    </w:tbl>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 xml:space="preserve">Los SUBTOTALES deben tener </w:t>
      </w:r>
      <w:r w:rsidR="000E778E">
        <w:rPr>
          <w:rFonts w:ascii="Arial" w:hAnsi="Arial" w:cs="Arial"/>
          <w:sz w:val="20"/>
          <w:szCs w:val="20"/>
        </w:rPr>
        <w:t xml:space="preserve">redondeo a </w:t>
      </w:r>
      <w:r w:rsidRPr="00275BB5">
        <w:rPr>
          <w:rFonts w:ascii="Arial" w:hAnsi="Arial" w:cs="Arial"/>
          <w:sz w:val="20"/>
          <w:szCs w:val="20"/>
        </w:rPr>
        <w:t>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8C56D1" w:rsidRPr="008C56D1">
        <w:rPr>
          <w:rFonts w:ascii="Arial" w:hAnsi="Arial"/>
          <w:bCs/>
        </w:rPr>
        <w:t>“SERVICIO DE REPARACIÓN DE 58 ANOMALÍAS POR PERDIDA DE ESPESOR MAYORES AL 60% DETECTADAS CON EL RASPATUBO INSTRUMENTADO (LIN SCAN) EN EL TRAMO I DEL ONP”</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FC3" w:rsidRDefault="00120FC3" w:rsidP="009C044A">
      <w:r>
        <w:separator/>
      </w:r>
    </w:p>
  </w:endnote>
  <w:endnote w:type="continuationSeparator" w:id="0">
    <w:p w:rsidR="00120FC3" w:rsidRDefault="00120FC3"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FC3" w:rsidRDefault="00120FC3" w:rsidP="009C044A">
      <w:r>
        <w:separator/>
      </w:r>
    </w:p>
  </w:footnote>
  <w:footnote w:type="continuationSeparator" w:id="0">
    <w:p w:rsidR="00120FC3" w:rsidRDefault="00120FC3"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120FC3"/>
    <w:rsid w:val="00166D42"/>
    <w:rsid w:val="00222527"/>
    <w:rsid w:val="002477EE"/>
    <w:rsid w:val="00254C80"/>
    <w:rsid w:val="002629F6"/>
    <w:rsid w:val="00275BB5"/>
    <w:rsid w:val="0034151D"/>
    <w:rsid w:val="003B3AD3"/>
    <w:rsid w:val="003B5001"/>
    <w:rsid w:val="003C41D4"/>
    <w:rsid w:val="003E0023"/>
    <w:rsid w:val="003F2C28"/>
    <w:rsid w:val="003F7C1A"/>
    <w:rsid w:val="0040527A"/>
    <w:rsid w:val="004B4949"/>
    <w:rsid w:val="004E1843"/>
    <w:rsid w:val="00601663"/>
    <w:rsid w:val="00654972"/>
    <w:rsid w:val="0066533F"/>
    <w:rsid w:val="006A228E"/>
    <w:rsid w:val="006D0A0D"/>
    <w:rsid w:val="006E374A"/>
    <w:rsid w:val="00700460"/>
    <w:rsid w:val="00700AA7"/>
    <w:rsid w:val="00847684"/>
    <w:rsid w:val="00883F56"/>
    <w:rsid w:val="00891532"/>
    <w:rsid w:val="008C56D1"/>
    <w:rsid w:val="008D618B"/>
    <w:rsid w:val="0091542E"/>
    <w:rsid w:val="009B6C9D"/>
    <w:rsid w:val="009C044A"/>
    <w:rsid w:val="00A6775A"/>
    <w:rsid w:val="00A9086E"/>
    <w:rsid w:val="00A945F3"/>
    <w:rsid w:val="00AB227E"/>
    <w:rsid w:val="00B72AB1"/>
    <w:rsid w:val="00C12118"/>
    <w:rsid w:val="00CA2B44"/>
    <w:rsid w:val="00CF47ED"/>
    <w:rsid w:val="00CF5469"/>
    <w:rsid w:val="00DE1F9A"/>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BB8C3-D97A-4D68-8BDD-8C3047059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1250</Words>
  <Characters>6878</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2019-09-25T19:37:00Z</dcterms:created>
  <dcterms:modified xsi:type="dcterms:W3CDTF">2019-09-25T19:37:00Z</dcterms:modified>
</cp:coreProperties>
</file>