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452CE6" w:rsidRPr="00452CE6">
        <w:rPr>
          <w:rFonts w:ascii="Arial" w:hAnsi="Arial" w:cs="Arial"/>
        </w:rPr>
        <w:t>“TRANSPORTE TERRESTRE DE RESIDUAL PRIMARIO SELVA DESDE PUERTO PUCALLPA (TERRANOVA Y/O LPO) HASTA LA REFINERÍA CONCHÁN DE PETROPERÚ S.A.”.</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452CE6" w:rsidRPr="00452CE6">
        <w:rPr>
          <w:rFonts w:ascii="Arial" w:hAnsi="Arial"/>
          <w:bCs/>
        </w:rPr>
        <w:t>“TRANSPORTE TERRESTRE DE RESIDUAL PRIMARIO SELVA DESDE PUERTO PUCALLPA (TERRANOVA Y/O LPO) HASTA LA REFINERÍA CONCHÁN DE PETROPERÚ S.A.”.</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Default="00452CE6" w:rsidP="00FA4E34">
      <w:pPr>
        <w:suppressAutoHyphens/>
        <w:ind w:right="28"/>
        <w:jc w:val="both"/>
        <w:rPr>
          <w:rFonts w:ascii="Arial" w:hAnsi="Arial"/>
          <w:lang w:eastAsia="es-ES"/>
        </w:rPr>
      </w:pPr>
      <w:r w:rsidRPr="00452CE6">
        <w:rPr>
          <w:rFonts w:ascii="Arial" w:hAnsi="Arial"/>
          <w:lang w:eastAsia="es-ES"/>
        </w:rPr>
        <w:t>El presente tiene por objeto alcanzar nuestra propuesta económica, para la prestación del servicio de la referencia, conforme a lo requerido en las Condiciones Técnicas.</w:t>
      </w: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tbl>
      <w:tblPr>
        <w:tblW w:w="7920" w:type="dxa"/>
        <w:jc w:val="center"/>
        <w:tblCellMar>
          <w:left w:w="70" w:type="dxa"/>
          <w:right w:w="70" w:type="dxa"/>
        </w:tblCellMar>
        <w:tblLook w:val="04A0" w:firstRow="1" w:lastRow="0" w:firstColumn="1" w:lastColumn="0" w:noHBand="0" w:noVBand="1"/>
      </w:tblPr>
      <w:tblGrid>
        <w:gridCol w:w="3687"/>
        <w:gridCol w:w="1373"/>
        <w:gridCol w:w="1364"/>
        <w:gridCol w:w="1496"/>
      </w:tblGrid>
      <w:tr w:rsidR="00452CE6" w:rsidRPr="00452CE6" w:rsidTr="00F96EAE">
        <w:trPr>
          <w:trHeight w:val="460"/>
          <w:jc w:val="center"/>
        </w:trPr>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Descripción</w:t>
            </w:r>
          </w:p>
        </w:tc>
        <w:tc>
          <w:tcPr>
            <w:tcW w:w="1373" w:type="dxa"/>
            <w:tcBorders>
              <w:top w:val="single" w:sz="4" w:space="0" w:color="auto"/>
              <w:left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Flete Unitario incluido IGV</w:t>
            </w:r>
          </w:p>
        </w:tc>
        <w:tc>
          <w:tcPr>
            <w:tcW w:w="1364" w:type="dxa"/>
            <w:tcBorders>
              <w:top w:val="single" w:sz="4" w:space="0" w:color="auto"/>
              <w:left w:val="single" w:sz="4" w:space="0" w:color="auto"/>
              <w:right w:val="single" w:sz="4" w:space="0" w:color="auto"/>
            </w:tcBorders>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 xml:space="preserve">Volumen Referencial  </w:t>
            </w:r>
          </w:p>
        </w:tc>
        <w:tc>
          <w:tcPr>
            <w:tcW w:w="1496" w:type="dxa"/>
            <w:tcBorders>
              <w:top w:val="single" w:sz="4" w:space="0" w:color="auto"/>
              <w:left w:val="nil"/>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Monto Total Soles incluido IGV</w:t>
            </w:r>
          </w:p>
        </w:tc>
      </w:tr>
      <w:tr w:rsidR="00452CE6" w:rsidRPr="00452CE6" w:rsidTr="00F96EAE">
        <w:trPr>
          <w:trHeight w:val="255"/>
          <w:jc w:val="center"/>
        </w:trPr>
        <w:tc>
          <w:tcPr>
            <w:tcW w:w="3687" w:type="dxa"/>
            <w:vMerge/>
            <w:tcBorders>
              <w:top w:val="single" w:sz="4" w:space="0" w:color="auto"/>
              <w:left w:val="single" w:sz="4" w:space="0" w:color="auto"/>
              <w:bottom w:val="single" w:sz="4" w:space="0" w:color="auto"/>
              <w:right w:val="single" w:sz="4" w:space="0" w:color="auto"/>
            </w:tcBorders>
            <w:vAlign w:val="center"/>
            <w:hideMark/>
          </w:tcPr>
          <w:p w:rsidR="00452CE6" w:rsidRPr="00452CE6" w:rsidRDefault="00452CE6" w:rsidP="00452CE6">
            <w:pPr>
              <w:suppressAutoHyphens/>
              <w:ind w:right="28"/>
              <w:jc w:val="both"/>
              <w:rPr>
                <w:rFonts w:ascii="Arial" w:hAnsi="Arial"/>
                <w:bCs/>
                <w:lang w:val="es-PE" w:eastAsia="es-ES"/>
              </w:rPr>
            </w:pPr>
          </w:p>
        </w:tc>
        <w:tc>
          <w:tcPr>
            <w:tcW w:w="1373" w:type="dxa"/>
            <w:tcBorders>
              <w:top w:val="nil"/>
              <w:left w:val="single" w:sz="4" w:space="0" w:color="auto"/>
              <w:bottom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 xml:space="preserve">(soles/galón) </w:t>
            </w:r>
          </w:p>
        </w:tc>
        <w:tc>
          <w:tcPr>
            <w:tcW w:w="1364" w:type="dxa"/>
            <w:tcBorders>
              <w:left w:val="single" w:sz="4" w:space="0" w:color="auto"/>
              <w:bottom w:val="single" w:sz="4" w:space="0" w:color="auto"/>
              <w:right w:val="single" w:sz="4" w:space="0" w:color="auto"/>
            </w:tcBorders>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(galones)</w:t>
            </w:r>
          </w:p>
        </w:tc>
        <w:tc>
          <w:tcPr>
            <w:tcW w:w="1496" w:type="dxa"/>
            <w:tcBorders>
              <w:top w:val="nil"/>
              <w:left w:val="nil"/>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w:t>
            </w:r>
          </w:p>
        </w:tc>
      </w:tr>
      <w:tr w:rsidR="00452CE6" w:rsidRPr="00452CE6" w:rsidTr="00F96EAE">
        <w:trPr>
          <w:trHeight w:val="255"/>
          <w:jc w:val="center"/>
        </w:trPr>
        <w:tc>
          <w:tcPr>
            <w:tcW w:w="3687" w:type="dxa"/>
            <w:vMerge/>
            <w:tcBorders>
              <w:top w:val="single" w:sz="4" w:space="0" w:color="auto"/>
              <w:left w:val="single" w:sz="4" w:space="0" w:color="auto"/>
              <w:bottom w:val="single" w:sz="4" w:space="0" w:color="auto"/>
              <w:right w:val="single" w:sz="4" w:space="0" w:color="auto"/>
            </w:tcBorders>
            <w:vAlign w:val="center"/>
            <w:hideMark/>
          </w:tcPr>
          <w:p w:rsidR="00452CE6" w:rsidRPr="00452CE6" w:rsidRDefault="00452CE6" w:rsidP="00452CE6">
            <w:pPr>
              <w:suppressAutoHyphens/>
              <w:ind w:right="28"/>
              <w:jc w:val="both"/>
              <w:rPr>
                <w:rFonts w:ascii="Arial" w:hAnsi="Arial"/>
                <w:bCs/>
                <w:lang w:val="es-PE" w:eastAsia="es-ES"/>
              </w:rPr>
            </w:pPr>
          </w:p>
        </w:tc>
        <w:tc>
          <w:tcPr>
            <w:tcW w:w="1373" w:type="dxa"/>
            <w:tcBorders>
              <w:top w:val="nil"/>
              <w:left w:val="single" w:sz="4" w:space="0" w:color="auto"/>
              <w:bottom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[P]</w:t>
            </w:r>
          </w:p>
        </w:tc>
        <w:tc>
          <w:tcPr>
            <w:tcW w:w="1364" w:type="dxa"/>
            <w:tcBorders>
              <w:top w:val="single" w:sz="4" w:space="0" w:color="auto"/>
              <w:left w:val="single" w:sz="4" w:space="0" w:color="auto"/>
              <w:bottom w:val="single" w:sz="4" w:space="0" w:color="auto"/>
              <w:right w:val="single" w:sz="4" w:space="0" w:color="auto"/>
            </w:tcBorders>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[V]</w:t>
            </w:r>
          </w:p>
        </w:tc>
        <w:tc>
          <w:tcPr>
            <w:tcW w:w="1496" w:type="dxa"/>
            <w:tcBorders>
              <w:top w:val="nil"/>
              <w:left w:val="nil"/>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[M=</w:t>
            </w:r>
            <w:proofErr w:type="spellStart"/>
            <w:r w:rsidRPr="00452CE6">
              <w:rPr>
                <w:rFonts w:ascii="Arial" w:hAnsi="Arial"/>
                <w:bCs/>
                <w:lang w:val="es-PE" w:eastAsia="es-ES"/>
              </w:rPr>
              <w:t>PxV</w:t>
            </w:r>
            <w:proofErr w:type="spellEnd"/>
            <w:r w:rsidRPr="00452CE6">
              <w:rPr>
                <w:rFonts w:ascii="Arial" w:hAnsi="Arial"/>
                <w:bCs/>
                <w:lang w:val="es-PE" w:eastAsia="es-ES"/>
              </w:rPr>
              <w:t>]</w:t>
            </w:r>
          </w:p>
        </w:tc>
      </w:tr>
      <w:tr w:rsidR="00452CE6" w:rsidRPr="00452CE6" w:rsidTr="00F96EAE">
        <w:trPr>
          <w:trHeight w:val="677"/>
          <w:jc w:val="center"/>
        </w:trPr>
        <w:tc>
          <w:tcPr>
            <w:tcW w:w="3687" w:type="dxa"/>
            <w:tcBorders>
              <w:top w:val="nil"/>
              <w:left w:val="single" w:sz="4" w:space="0" w:color="auto"/>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 xml:space="preserve"> “Transporte terrestre de Residual Primario Selva desde Puerto Pucallpa (Terranova y/o LPO) hasta la Refinería Conchán de PETROPERÚ S.A.”</w:t>
            </w:r>
          </w:p>
        </w:tc>
        <w:tc>
          <w:tcPr>
            <w:tcW w:w="1373" w:type="dxa"/>
            <w:tcBorders>
              <w:top w:val="single" w:sz="4" w:space="0" w:color="auto"/>
              <w:left w:val="single" w:sz="4" w:space="0" w:color="auto"/>
              <w:bottom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S/</w:t>
            </w:r>
          </w:p>
        </w:tc>
        <w:tc>
          <w:tcPr>
            <w:tcW w:w="1364" w:type="dxa"/>
            <w:tcBorders>
              <w:top w:val="single" w:sz="4" w:space="0" w:color="auto"/>
              <w:left w:val="single" w:sz="4" w:space="0" w:color="auto"/>
              <w:bottom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eastAsia="es-ES"/>
              </w:rPr>
              <w:t>294,000</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S/</w:t>
            </w:r>
          </w:p>
        </w:tc>
      </w:tr>
      <w:tr w:rsidR="00452CE6" w:rsidRPr="00452CE6" w:rsidTr="00F96EAE">
        <w:trPr>
          <w:trHeight w:val="355"/>
          <w:jc w:val="center"/>
        </w:trPr>
        <w:tc>
          <w:tcPr>
            <w:tcW w:w="3687" w:type="dxa"/>
            <w:tcBorders>
              <w:top w:val="single" w:sz="4" w:space="0" w:color="auto"/>
              <w:left w:val="single" w:sz="4" w:space="0" w:color="auto"/>
              <w:bottom w:val="single" w:sz="4" w:space="0" w:color="auto"/>
            </w:tcBorders>
            <w:shd w:val="clear" w:color="auto" w:fill="auto"/>
            <w:vAlign w:val="center"/>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Monto Total Soles incluido IGV (*)</w:t>
            </w:r>
          </w:p>
        </w:tc>
        <w:tc>
          <w:tcPr>
            <w:tcW w:w="1373" w:type="dxa"/>
            <w:tcBorders>
              <w:top w:val="single" w:sz="4" w:space="0" w:color="auto"/>
              <w:bottom w:val="single" w:sz="4" w:space="0" w:color="auto"/>
            </w:tcBorders>
            <w:vAlign w:val="center"/>
          </w:tcPr>
          <w:p w:rsidR="00452CE6" w:rsidRPr="00452CE6" w:rsidRDefault="00452CE6" w:rsidP="00452CE6">
            <w:pPr>
              <w:suppressAutoHyphens/>
              <w:ind w:right="28"/>
              <w:jc w:val="both"/>
              <w:rPr>
                <w:rFonts w:ascii="Arial" w:hAnsi="Arial"/>
                <w:bCs/>
                <w:lang w:val="es-PE" w:eastAsia="es-ES"/>
              </w:rPr>
            </w:pPr>
          </w:p>
        </w:tc>
        <w:tc>
          <w:tcPr>
            <w:tcW w:w="1364" w:type="dxa"/>
            <w:tcBorders>
              <w:top w:val="single" w:sz="4" w:space="0" w:color="auto"/>
              <w:bottom w:val="single" w:sz="4" w:space="0" w:color="auto"/>
              <w:right w:val="single" w:sz="4" w:space="0" w:color="auto"/>
            </w:tcBorders>
            <w:vAlign w:val="center"/>
          </w:tcPr>
          <w:p w:rsidR="00452CE6" w:rsidRPr="00452CE6" w:rsidRDefault="00452CE6" w:rsidP="00452CE6">
            <w:pPr>
              <w:suppressAutoHyphens/>
              <w:ind w:right="28"/>
              <w:jc w:val="both"/>
              <w:rPr>
                <w:rFonts w:ascii="Arial" w:hAnsi="Arial"/>
                <w:bCs/>
                <w:lang w:val="es-PE" w:eastAsia="es-ES"/>
              </w:rPr>
            </w:pP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452CE6" w:rsidRPr="00452CE6" w:rsidRDefault="00452CE6" w:rsidP="00452CE6">
            <w:pPr>
              <w:suppressAutoHyphens/>
              <w:ind w:right="28"/>
              <w:jc w:val="both"/>
              <w:rPr>
                <w:rFonts w:ascii="Arial" w:hAnsi="Arial"/>
                <w:bCs/>
                <w:lang w:val="es-PE" w:eastAsia="es-ES"/>
              </w:rPr>
            </w:pPr>
            <w:r w:rsidRPr="00452CE6">
              <w:rPr>
                <w:rFonts w:ascii="Arial" w:hAnsi="Arial"/>
                <w:bCs/>
                <w:lang w:val="es-PE" w:eastAsia="es-ES"/>
              </w:rPr>
              <w:t>S/</w:t>
            </w:r>
          </w:p>
        </w:tc>
      </w:tr>
    </w:tbl>
    <w:p w:rsidR="008C56D1" w:rsidRDefault="008C56D1"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452CE6" w:rsidRPr="00452CE6" w:rsidRDefault="00452CE6" w:rsidP="00FA4E34">
      <w:pPr>
        <w:suppressAutoHyphens/>
        <w:ind w:right="28"/>
        <w:jc w:val="both"/>
        <w:rPr>
          <w:rFonts w:ascii="Arial" w:hAnsi="Arial"/>
          <w:lang w:eastAsia="es-ES"/>
        </w:rPr>
      </w:pPr>
      <w:r w:rsidRPr="00452CE6">
        <w:rPr>
          <w:rFonts w:ascii="Arial" w:hAnsi="Arial"/>
          <w:lang w:eastAsia="es-ES"/>
        </w:rPr>
        <w:t>(*) Consignar el monto total incluido IGV con 2 cifras decimales.</w:t>
      </w:r>
    </w:p>
    <w:p w:rsidR="00452CE6" w:rsidRDefault="00452CE6"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 xml:space="preserve">Firma </w:t>
      </w:r>
      <w:r w:rsidR="00452CE6">
        <w:rPr>
          <w:rFonts w:ascii="Arial" w:hAnsi="Arial" w:cs="Arial"/>
        </w:rPr>
        <w:t xml:space="preserve">y sello </w:t>
      </w:r>
      <w:r w:rsidRPr="003E0023">
        <w:rPr>
          <w:rFonts w:ascii="Arial" w:hAnsi="Arial" w:cs="Arial"/>
        </w:rPr>
        <w:t>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bookmarkStart w:id="0" w:name="_GoBack"/>
      <w:bookmarkEnd w:id="0"/>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452CE6" w:rsidRPr="00452CE6">
        <w:rPr>
          <w:rFonts w:ascii="Arial" w:hAnsi="Arial"/>
          <w:bCs/>
        </w:rPr>
        <w:t>“TRANSPORTE TERRESTRE DE RESIDUAL PRIMARIO SELVA DESDE PUERTO PUCALLPA (TERRANOVA Y/O LPO) HASTA LA REFINERÍA CONCHÁN DE PETROPERÚ S.A.”.</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328" w:rsidRDefault="00B40328" w:rsidP="009C044A">
      <w:r>
        <w:separator/>
      </w:r>
    </w:p>
  </w:endnote>
  <w:endnote w:type="continuationSeparator" w:id="0">
    <w:p w:rsidR="00B40328" w:rsidRDefault="00B40328"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328" w:rsidRDefault="00B40328" w:rsidP="009C044A">
      <w:r>
        <w:separator/>
      </w:r>
    </w:p>
  </w:footnote>
  <w:footnote w:type="continuationSeparator" w:id="0">
    <w:p w:rsidR="00B40328" w:rsidRDefault="00B40328"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222527"/>
    <w:rsid w:val="002477EE"/>
    <w:rsid w:val="00254C80"/>
    <w:rsid w:val="002629F6"/>
    <w:rsid w:val="00275BB5"/>
    <w:rsid w:val="0034151D"/>
    <w:rsid w:val="00342ABF"/>
    <w:rsid w:val="003928D3"/>
    <w:rsid w:val="003B3AD3"/>
    <w:rsid w:val="003B5001"/>
    <w:rsid w:val="003C41D4"/>
    <w:rsid w:val="003E0023"/>
    <w:rsid w:val="003F2C28"/>
    <w:rsid w:val="003F7C1A"/>
    <w:rsid w:val="0040527A"/>
    <w:rsid w:val="00452CE6"/>
    <w:rsid w:val="00490542"/>
    <w:rsid w:val="004B4949"/>
    <w:rsid w:val="004E1843"/>
    <w:rsid w:val="00601663"/>
    <w:rsid w:val="00654972"/>
    <w:rsid w:val="0066533F"/>
    <w:rsid w:val="006A228E"/>
    <w:rsid w:val="006D0A0D"/>
    <w:rsid w:val="006E374A"/>
    <w:rsid w:val="00700460"/>
    <w:rsid w:val="00700AA7"/>
    <w:rsid w:val="008350AD"/>
    <w:rsid w:val="00847684"/>
    <w:rsid w:val="00883F56"/>
    <w:rsid w:val="00891532"/>
    <w:rsid w:val="008C56D1"/>
    <w:rsid w:val="008D618B"/>
    <w:rsid w:val="0091542E"/>
    <w:rsid w:val="009B6C9D"/>
    <w:rsid w:val="009C044A"/>
    <w:rsid w:val="00A6775A"/>
    <w:rsid w:val="00A9086E"/>
    <w:rsid w:val="00A945F3"/>
    <w:rsid w:val="00AB227E"/>
    <w:rsid w:val="00B40328"/>
    <w:rsid w:val="00B72AB1"/>
    <w:rsid w:val="00C12118"/>
    <w:rsid w:val="00CA2B44"/>
    <w:rsid w:val="00CF47ED"/>
    <w:rsid w:val="00CF5469"/>
    <w:rsid w:val="00DE1F9A"/>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9220C-430A-48F7-99F6-010CF72B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980</Words>
  <Characters>5393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2019-09-26T19:36:00Z</dcterms:created>
  <dcterms:modified xsi:type="dcterms:W3CDTF">2019-09-26T19:36:00Z</dcterms:modified>
</cp:coreProperties>
</file>