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515AC" w14:textId="77777777" w:rsidR="00453D75" w:rsidRPr="00043534" w:rsidRDefault="00453D75" w:rsidP="00453D75">
      <w:pPr>
        <w:spacing w:after="0" w:line="240" w:lineRule="auto"/>
        <w:ind w:left="0" w:right="0" w:firstLine="0"/>
        <w:jc w:val="center"/>
        <w:rPr>
          <w:rFonts w:ascii="Arial" w:eastAsia="Times New Roman" w:hAnsi="Arial" w:cs="Arial"/>
          <w:b/>
          <w:color w:val="auto"/>
          <w:sz w:val="22"/>
          <w:u w:val="single"/>
          <w:lang w:val="es-ES" w:eastAsia="es-ES"/>
        </w:rPr>
      </w:pPr>
      <w:bookmarkStart w:id="0" w:name="_Hlk35959808"/>
      <w:r w:rsidRPr="00043534">
        <w:rPr>
          <w:rFonts w:ascii="Arial" w:eastAsia="Times New Roman" w:hAnsi="Arial" w:cs="Arial"/>
          <w:b/>
          <w:color w:val="auto"/>
          <w:sz w:val="22"/>
          <w:u w:val="single"/>
          <w:lang w:val="es-ES" w:eastAsia="es-ES"/>
        </w:rPr>
        <w:t xml:space="preserve">APENDICE </w:t>
      </w:r>
      <w:proofErr w:type="spellStart"/>
      <w:r w:rsidRPr="00043534">
        <w:rPr>
          <w:rFonts w:ascii="Arial" w:eastAsia="Times New Roman" w:hAnsi="Arial" w:cs="Arial"/>
          <w:b/>
          <w:color w:val="auto"/>
          <w:sz w:val="22"/>
          <w:u w:val="single"/>
          <w:lang w:val="es-ES" w:eastAsia="es-ES"/>
        </w:rPr>
        <w:t>N°</w:t>
      </w:r>
      <w:proofErr w:type="spellEnd"/>
      <w:r w:rsidRPr="00043534">
        <w:rPr>
          <w:rFonts w:ascii="Arial" w:eastAsia="Times New Roman" w:hAnsi="Arial" w:cs="Arial"/>
          <w:b/>
          <w:color w:val="auto"/>
          <w:sz w:val="22"/>
          <w:u w:val="single"/>
          <w:lang w:val="es-ES" w:eastAsia="es-ES"/>
        </w:rPr>
        <w:t xml:space="preserve"> 3</w:t>
      </w:r>
    </w:p>
    <w:p w14:paraId="16CD44B3" w14:textId="576AB215" w:rsidR="00453D75" w:rsidRDefault="00453D75" w:rsidP="00453D75">
      <w:pPr>
        <w:spacing w:after="0" w:line="240" w:lineRule="auto"/>
        <w:ind w:left="0" w:right="0" w:firstLine="0"/>
        <w:jc w:val="center"/>
        <w:rPr>
          <w:rFonts w:ascii="Arial" w:eastAsia="Times New Roman" w:hAnsi="Arial" w:cs="Arial"/>
          <w:b/>
          <w:color w:val="auto"/>
          <w:sz w:val="22"/>
          <w:u w:val="single"/>
          <w:lang w:val="es-ES" w:eastAsia="es-ES"/>
        </w:rPr>
      </w:pPr>
      <w:r w:rsidRPr="00043534">
        <w:rPr>
          <w:rFonts w:ascii="Arial" w:eastAsia="Times New Roman" w:hAnsi="Arial" w:cs="Arial"/>
          <w:b/>
          <w:color w:val="auto"/>
          <w:sz w:val="22"/>
          <w:u w:val="single"/>
          <w:lang w:val="es-ES" w:eastAsia="es-ES"/>
        </w:rPr>
        <w:t>ESTRUCTURA DE COSTOS</w:t>
      </w:r>
    </w:p>
    <w:p w14:paraId="6B1AF7B6" w14:textId="77777777" w:rsidR="00D33C9F" w:rsidRPr="00043534" w:rsidRDefault="00D33C9F" w:rsidP="00D33C9F">
      <w:pPr>
        <w:spacing w:after="0" w:line="240" w:lineRule="auto"/>
        <w:ind w:left="0" w:right="0" w:firstLine="0"/>
        <w:rPr>
          <w:rFonts w:ascii="Arial" w:eastAsia="Times New Roman" w:hAnsi="Arial" w:cs="Arial"/>
          <w:b/>
          <w:color w:val="auto"/>
          <w:sz w:val="22"/>
          <w:highlight w:val="yellow"/>
          <w:u w:val="single"/>
          <w:lang w:val="es-ES" w:eastAsia="es-ES"/>
        </w:rPr>
      </w:pPr>
    </w:p>
    <w:bookmarkEnd w:id="0"/>
    <w:p w14:paraId="238C97FC" w14:textId="52742621" w:rsidR="00D33C9F" w:rsidRDefault="00453D75" w:rsidP="00D33C9F">
      <w:pPr>
        <w:spacing w:before="120" w:after="120" w:line="240" w:lineRule="auto"/>
        <w:ind w:left="567" w:right="0" w:firstLine="0"/>
        <w:jc w:val="center"/>
        <w:rPr>
          <w:rFonts w:ascii="Arial" w:eastAsia="Times New Roman" w:hAnsi="Arial" w:cs="Arial"/>
          <w:b/>
          <w:color w:val="auto"/>
          <w:sz w:val="18"/>
          <w:szCs w:val="18"/>
          <w:lang w:val="es-ES" w:eastAsia="es-ES"/>
        </w:rPr>
      </w:pPr>
      <w:r w:rsidRPr="00D04F2B">
        <w:rPr>
          <w:rFonts w:ascii="Arial" w:eastAsia="Times New Roman" w:hAnsi="Arial" w:cs="Arial"/>
          <w:b/>
          <w:color w:val="auto"/>
          <w:sz w:val="18"/>
          <w:szCs w:val="18"/>
          <w:lang w:val="es-ES" w:eastAsia="es-ES"/>
        </w:rPr>
        <w:t>SERVICIO DE CONSULTORIA: ELABORACIÓN DE CONDICIONES TECNICAS PARA IMPLEMENTACION DE ALMACENES DE NUEVA REFINERIA DE TALARA</w:t>
      </w:r>
    </w:p>
    <w:p w14:paraId="1C34867E" w14:textId="638AC024" w:rsidR="00D33C9F" w:rsidRPr="00D33C9F" w:rsidRDefault="00D33C9F" w:rsidP="00D33C9F">
      <w:pPr>
        <w:spacing w:before="120" w:after="120"/>
        <w:ind w:left="567"/>
        <w:rPr>
          <w:rFonts w:ascii="Arial Narrow" w:hAnsi="Arial Narrow" w:cs="Arial"/>
          <w:b/>
          <w:color w:val="000000" w:themeColor="text1"/>
          <w:sz w:val="20"/>
          <w:szCs w:val="20"/>
          <w:lang w:val="es-ES" w:eastAsia="es-ES"/>
        </w:rPr>
      </w:pPr>
      <w:r w:rsidRPr="00D33C9F">
        <w:rPr>
          <w:rFonts w:ascii="Verdana" w:hAnsi="Verdana"/>
          <w:b/>
          <w:bCs/>
          <w:sz w:val="20"/>
          <w:szCs w:val="20"/>
          <w:u w:val="single"/>
          <w:shd w:val="clear" w:color="auto" w:fill="FFFFFF"/>
        </w:rPr>
        <w:t>Nota</w:t>
      </w:r>
      <w:r w:rsidRPr="00D33C9F">
        <w:rPr>
          <w:rFonts w:ascii="Verdana" w:hAnsi="Verdana"/>
          <w:b/>
          <w:bCs/>
          <w:sz w:val="20"/>
          <w:szCs w:val="20"/>
          <w:shd w:val="clear" w:color="auto" w:fill="FFFFFF"/>
        </w:rPr>
        <w:t>: Para facilidad de los proveedores, se adjunta un archivo Word de modelo referencial del Apéndice N°</w:t>
      </w:r>
      <w:r w:rsidR="00F655D8">
        <w:rPr>
          <w:rFonts w:ascii="Verdana" w:hAnsi="Verdana"/>
          <w:b/>
          <w:bCs/>
          <w:sz w:val="20"/>
          <w:szCs w:val="20"/>
          <w:shd w:val="clear" w:color="auto" w:fill="FFFFFF"/>
        </w:rPr>
        <w:t>3</w:t>
      </w:r>
      <w:r w:rsidRPr="00D33C9F">
        <w:rPr>
          <w:rFonts w:ascii="Verdana" w:hAnsi="Verdana"/>
          <w:b/>
          <w:bCs/>
          <w:sz w:val="20"/>
          <w:szCs w:val="20"/>
          <w:shd w:val="clear" w:color="auto" w:fill="FFFFFF"/>
        </w:rPr>
        <w:t>. Sin perjuicio, de utilizarlo para la elaboración de sus propuestas, es responsabilidad de los proveedores verificar que su contenido se encuentre en línea con lo requerido en las Condiciones Técnicas del procedimiento. </w:t>
      </w:r>
    </w:p>
    <w:tbl>
      <w:tblPr>
        <w:tblW w:w="9728" w:type="dxa"/>
        <w:tblInd w:w="48" w:type="dxa"/>
        <w:tblLayout w:type="fixed"/>
        <w:tblCellMar>
          <w:left w:w="0" w:type="dxa"/>
          <w:right w:w="0" w:type="dxa"/>
        </w:tblCellMar>
        <w:tblLook w:val="0000" w:firstRow="0" w:lastRow="0" w:firstColumn="0" w:lastColumn="0" w:noHBand="0" w:noVBand="0"/>
      </w:tblPr>
      <w:tblGrid>
        <w:gridCol w:w="656"/>
        <w:gridCol w:w="5812"/>
        <w:gridCol w:w="709"/>
        <w:gridCol w:w="567"/>
        <w:gridCol w:w="850"/>
        <w:gridCol w:w="1134"/>
      </w:tblGrid>
      <w:tr w:rsidR="00453D75" w:rsidRPr="00043534" w14:paraId="7F6E4686" w14:textId="77777777" w:rsidTr="00390C55">
        <w:trPr>
          <w:trHeight w:hRule="exact" w:val="440"/>
        </w:trPr>
        <w:tc>
          <w:tcPr>
            <w:tcW w:w="656" w:type="dxa"/>
            <w:tcBorders>
              <w:top w:val="single" w:sz="4" w:space="0" w:color="000000"/>
              <w:left w:val="single" w:sz="4" w:space="0" w:color="000000"/>
              <w:bottom w:val="single" w:sz="4" w:space="0" w:color="000000"/>
              <w:right w:val="single" w:sz="4" w:space="0" w:color="000000"/>
            </w:tcBorders>
            <w:vAlign w:val="center"/>
          </w:tcPr>
          <w:p w14:paraId="0484BB20" w14:textId="77777777" w:rsidR="00453D75" w:rsidRPr="00043534" w:rsidRDefault="00453D75" w:rsidP="00390C55">
            <w:pPr>
              <w:spacing w:after="187" w:line="228" w:lineRule="exact"/>
              <w:ind w:left="0" w:right="-5" w:firstLine="0"/>
              <w:jc w:val="center"/>
              <w:textAlignment w:val="baseline"/>
              <w:rPr>
                <w:rFonts w:ascii="Arial" w:eastAsia="Arial" w:hAnsi="Arial" w:cs="Times New Roman"/>
                <w:b/>
                <w:color w:val="auto"/>
                <w:sz w:val="20"/>
                <w:szCs w:val="20"/>
                <w:lang w:val="es-ES"/>
              </w:rPr>
            </w:pPr>
            <w:r w:rsidRPr="00043534">
              <w:rPr>
                <w:rFonts w:ascii="Arial" w:eastAsia="Arial" w:hAnsi="Arial" w:cs="Times New Roman"/>
                <w:b/>
                <w:color w:val="auto"/>
                <w:sz w:val="20"/>
                <w:szCs w:val="20"/>
                <w:lang w:val="es-ES"/>
              </w:rPr>
              <w:t>FASE</w:t>
            </w:r>
          </w:p>
        </w:tc>
        <w:tc>
          <w:tcPr>
            <w:tcW w:w="5812" w:type="dxa"/>
            <w:tcBorders>
              <w:top w:val="single" w:sz="4" w:space="0" w:color="000000"/>
              <w:left w:val="single" w:sz="4" w:space="0" w:color="000000"/>
              <w:bottom w:val="single" w:sz="4" w:space="0" w:color="000000"/>
              <w:right w:val="single" w:sz="4" w:space="0" w:color="000000"/>
            </w:tcBorders>
            <w:vAlign w:val="center"/>
          </w:tcPr>
          <w:p w14:paraId="730B7358" w14:textId="77777777" w:rsidR="00453D75" w:rsidRPr="00043534" w:rsidRDefault="00453D75" w:rsidP="00390C55">
            <w:pPr>
              <w:tabs>
                <w:tab w:val="left" w:pos="3016"/>
                <w:tab w:val="left" w:pos="4397"/>
              </w:tabs>
              <w:spacing w:after="173" w:line="228" w:lineRule="exact"/>
              <w:ind w:left="0" w:right="0" w:firstLine="0"/>
              <w:jc w:val="center"/>
              <w:textAlignment w:val="baseline"/>
              <w:rPr>
                <w:rFonts w:ascii="Arial" w:eastAsia="Arial" w:hAnsi="Arial" w:cs="Times New Roman"/>
                <w:color w:val="auto"/>
                <w:sz w:val="20"/>
                <w:szCs w:val="20"/>
                <w:lang w:val="es-ES"/>
              </w:rPr>
            </w:pPr>
            <w:r w:rsidRPr="00043534">
              <w:rPr>
                <w:rFonts w:ascii="Arial" w:eastAsia="Arial" w:hAnsi="Arial" w:cs="Times New Roman"/>
                <w:b/>
                <w:color w:val="auto"/>
                <w:sz w:val="20"/>
                <w:szCs w:val="20"/>
                <w:lang w:val="es-ES"/>
              </w:rPr>
              <w:t>DESCRIPCION</w:t>
            </w:r>
          </w:p>
        </w:tc>
        <w:tc>
          <w:tcPr>
            <w:tcW w:w="709" w:type="dxa"/>
            <w:tcBorders>
              <w:top w:val="single" w:sz="4" w:space="0" w:color="000000"/>
              <w:left w:val="single" w:sz="4" w:space="0" w:color="000000"/>
              <w:bottom w:val="single" w:sz="4" w:space="0" w:color="000000"/>
              <w:right w:val="single" w:sz="4" w:space="0" w:color="000000"/>
            </w:tcBorders>
            <w:vAlign w:val="center"/>
          </w:tcPr>
          <w:p w14:paraId="1954E411" w14:textId="77777777" w:rsidR="00453D75" w:rsidRPr="00043534" w:rsidRDefault="00453D75" w:rsidP="00390C55">
            <w:pPr>
              <w:spacing w:after="187" w:line="228" w:lineRule="exact"/>
              <w:ind w:left="0" w:right="-28" w:firstLine="0"/>
              <w:jc w:val="center"/>
              <w:textAlignment w:val="baseline"/>
              <w:rPr>
                <w:rFonts w:ascii="Arial" w:eastAsia="Arial" w:hAnsi="Arial" w:cs="Times New Roman"/>
                <w:color w:val="auto"/>
                <w:sz w:val="20"/>
                <w:szCs w:val="20"/>
                <w:lang w:val="es-ES"/>
              </w:rPr>
            </w:pPr>
            <w:r>
              <w:rPr>
                <w:rFonts w:ascii="Arial" w:eastAsia="Arial" w:hAnsi="Arial" w:cs="Times New Roman"/>
                <w:b/>
                <w:color w:val="auto"/>
                <w:sz w:val="20"/>
                <w:szCs w:val="20"/>
                <w:lang w:val="es-ES"/>
              </w:rPr>
              <w:t xml:space="preserve"> </w:t>
            </w:r>
            <w:r w:rsidRPr="00043534">
              <w:rPr>
                <w:rFonts w:ascii="Arial" w:eastAsia="Arial" w:hAnsi="Arial" w:cs="Times New Roman"/>
                <w:b/>
                <w:color w:val="auto"/>
                <w:sz w:val="20"/>
                <w:szCs w:val="20"/>
                <w:lang w:val="es-ES"/>
              </w:rPr>
              <w:t>UND</w:t>
            </w:r>
            <w:r w:rsidRPr="00043534">
              <w:rPr>
                <w:rFonts w:ascii="Arial" w:eastAsia="Arial" w:hAnsi="Arial" w:cs="Times New Roman"/>
                <w:color w:val="auto"/>
                <w:sz w:val="20"/>
                <w:szCs w:val="20"/>
                <w:lang w:val="es-ES"/>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68BE25A2" w14:textId="77777777" w:rsidR="00453D75" w:rsidRPr="00043534" w:rsidRDefault="00453D75" w:rsidP="00390C55">
            <w:pPr>
              <w:spacing w:after="187" w:line="228" w:lineRule="exact"/>
              <w:ind w:left="0" w:right="-28" w:firstLine="0"/>
              <w:jc w:val="center"/>
              <w:textAlignment w:val="baseline"/>
              <w:rPr>
                <w:rFonts w:ascii="Arial" w:eastAsia="Arial" w:hAnsi="Arial" w:cs="Times New Roman"/>
                <w:b/>
                <w:color w:val="auto"/>
                <w:sz w:val="20"/>
                <w:szCs w:val="20"/>
                <w:lang w:val="es-ES"/>
              </w:rPr>
            </w:pPr>
            <w:r w:rsidRPr="00043534">
              <w:rPr>
                <w:rFonts w:ascii="Arial" w:eastAsia="Arial" w:hAnsi="Arial" w:cs="Times New Roman"/>
                <w:b/>
                <w:color w:val="auto"/>
                <w:sz w:val="20"/>
                <w:szCs w:val="20"/>
                <w:lang w:val="es-ES"/>
              </w:rPr>
              <w:t>CANT</w:t>
            </w:r>
          </w:p>
        </w:tc>
        <w:tc>
          <w:tcPr>
            <w:tcW w:w="850" w:type="dxa"/>
            <w:tcBorders>
              <w:top w:val="single" w:sz="4" w:space="0" w:color="000000"/>
              <w:left w:val="single" w:sz="4" w:space="0" w:color="000000"/>
              <w:bottom w:val="single" w:sz="4" w:space="0" w:color="000000"/>
              <w:right w:val="single" w:sz="4" w:space="0" w:color="000000"/>
            </w:tcBorders>
          </w:tcPr>
          <w:p w14:paraId="61B6A04D" w14:textId="77777777" w:rsidR="00453D75" w:rsidRPr="00043534" w:rsidRDefault="00453D75" w:rsidP="00390C55">
            <w:pPr>
              <w:spacing w:after="173" w:line="228" w:lineRule="exact"/>
              <w:ind w:left="0" w:right="0" w:firstLine="0"/>
              <w:jc w:val="center"/>
              <w:textAlignment w:val="baseline"/>
              <w:rPr>
                <w:rFonts w:ascii="Arial" w:eastAsia="Arial" w:hAnsi="Arial" w:cs="Times New Roman"/>
                <w:color w:val="auto"/>
                <w:sz w:val="20"/>
                <w:szCs w:val="20"/>
              </w:rPr>
            </w:pPr>
            <w:r w:rsidRPr="00043534">
              <w:rPr>
                <w:rFonts w:ascii="Arial" w:eastAsia="Arial" w:hAnsi="Arial" w:cs="Times New Roman"/>
                <w:b/>
                <w:color w:val="auto"/>
                <w:sz w:val="20"/>
                <w:szCs w:val="20"/>
                <w:lang w:val="es-ES"/>
              </w:rPr>
              <w:t>PRECIO UNIT</w:t>
            </w:r>
          </w:p>
        </w:tc>
        <w:tc>
          <w:tcPr>
            <w:tcW w:w="1134" w:type="dxa"/>
            <w:tcBorders>
              <w:top w:val="single" w:sz="4" w:space="0" w:color="000000"/>
              <w:left w:val="single" w:sz="4" w:space="0" w:color="000000"/>
              <w:bottom w:val="single" w:sz="4" w:space="0" w:color="000000"/>
              <w:right w:val="single" w:sz="4" w:space="0" w:color="000000"/>
            </w:tcBorders>
          </w:tcPr>
          <w:p w14:paraId="36308BC1" w14:textId="77777777" w:rsidR="00453D75" w:rsidRPr="00043534" w:rsidRDefault="00453D75" w:rsidP="00390C55">
            <w:pPr>
              <w:spacing w:after="187" w:line="228" w:lineRule="exact"/>
              <w:ind w:left="0" w:right="233" w:firstLine="0"/>
              <w:jc w:val="center"/>
              <w:textAlignment w:val="baseline"/>
              <w:rPr>
                <w:rFonts w:ascii="Arial" w:eastAsia="Arial" w:hAnsi="Arial" w:cs="Times New Roman"/>
                <w:b/>
                <w:color w:val="auto"/>
                <w:sz w:val="18"/>
                <w:szCs w:val="18"/>
              </w:rPr>
            </w:pPr>
            <w:r w:rsidRPr="00043534">
              <w:rPr>
                <w:rFonts w:ascii="Arial" w:eastAsia="Arial" w:hAnsi="Arial" w:cs="Times New Roman"/>
                <w:b/>
                <w:color w:val="auto"/>
                <w:sz w:val="18"/>
                <w:szCs w:val="18"/>
              </w:rPr>
              <w:t>MONTO PARCIAL S/</w:t>
            </w:r>
          </w:p>
        </w:tc>
      </w:tr>
      <w:tr w:rsidR="00453D75" w:rsidRPr="00043534" w14:paraId="1D7A52BA" w14:textId="77777777" w:rsidTr="00390C55">
        <w:trPr>
          <w:trHeight w:hRule="exact" w:val="2196"/>
        </w:trPr>
        <w:tc>
          <w:tcPr>
            <w:tcW w:w="656" w:type="dxa"/>
            <w:tcBorders>
              <w:top w:val="single" w:sz="4" w:space="0" w:color="000000"/>
              <w:left w:val="single" w:sz="4" w:space="0" w:color="000000"/>
              <w:bottom w:val="single" w:sz="4" w:space="0" w:color="000000"/>
              <w:right w:val="single" w:sz="4" w:space="0" w:color="000000"/>
            </w:tcBorders>
            <w:vAlign w:val="center"/>
          </w:tcPr>
          <w:p w14:paraId="44947399" w14:textId="77777777" w:rsidR="00453D75" w:rsidRPr="00043534" w:rsidRDefault="00453D75" w:rsidP="00390C55">
            <w:pPr>
              <w:spacing w:before="195" w:after="187" w:line="228" w:lineRule="exact"/>
              <w:ind w:left="0" w:right="-5" w:firstLine="0"/>
              <w:jc w:val="center"/>
              <w:textAlignment w:val="baseline"/>
              <w:rPr>
                <w:rFonts w:ascii="Arial" w:eastAsia="Arial" w:hAnsi="Arial" w:cs="Times New Roman"/>
                <w:b/>
                <w:color w:val="auto"/>
                <w:sz w:val="20"/>
                <w:szCs w:val="20"/>
                <w:lang w:val="es-ES"/>
              </w:rPr>
            </w:pPr>
            <w:r w:rsidRPr="00043534">
              <w:rPr>
                <w:rFonts w:ascii="Arial" w:eastAsia="Arial" w:hAnsi="Arial" w:cs="Times New Roman"/>
                <w:b/>
                <w:color w:val="auto"/>
                <w:sz w:val="20"/>
                <w:szCs w:val="20"/>
                <w:lang w:val="es-ES"/>
              </w:rPr>
              <w:t>1</w:t>
            </w:r>
          </w:p>
        </w:tc>
        <w:tc>
          <w:tcPr>
            <w:tcW w:w="5812" w:type="dxa"/>
            <w:tcBorders>
              <w:top w:val="single" w:sz="4" w:space="0" w:color="000000"/>
              <w:left w:val="single" w:sz="4" w:space="0" w:color="000000"/>
              <w:bottom w:val="single" w:sz="4" w:space="0" w:color="000000"/>
              <w:right w:val="single" w:sz="4" w:space="0" w:color="000000"/>
            </w:tcBorders>
          </w:tcPr>
          <w:p w14:paraId="0E23843C" w14:textId="77777777" w:rsidR="00453D75" w:rsidRPr="00043534" w:rsidRDefault="00453D75" w:rsidP="00390C55">
            <w:pPr>
              <w:spacing w:before="86" w:after="68" w:line="228" w:lineRule="exact"/>
              <w:ind w:left="72" w:right="136" w:firstLine="0"/>
              <w:textAlignment w:val="baseline"/>
              <w:rPr>
                <w:rFonts w:ascii="Arial" w:eastAsia="Arial" w:hAnsi="Arial" w:cs="Times New Roman"/>
                <w:b/>
                <w:color w:val="auto"/>
                <w:sz w:val="20"/>
                <w:szCs w:val="20"/>
                <w:lang w:val="es-ES"/>
              </w:rPr>
            </w:pPr>
            <w:r w:rsidRPr="00043534">
              <w:rPr>
                <w:rFonts w:ascii="Arial" w:eastAsia="Arial" w:hAnsi="Arial" w:cs="Times New Roman"/>
                <w:b/>
                <w:color w:val="auto"/>
                <w:sz w:val="20"/>
                <w:szCs w:val="20"/>
                <w:lang w:val="es-ES"/>
              </w:rPr>
              <w:t>Elaboración de las condiciones técnicas y monto estimado de inversión, para:</w:t>
            </w:r>
          </w:p>
          <w:p w14:paraId="0394A880" w14:textId="77777777" w:rsidR="00453D75" w:rsidRPr="00043534" w:rsidRDefault="00453D75" w:rsidP="00390C55">
            <w:pPr>
              <w:spacing w:before="86" w:after="68" w:line="228" w:lineRule="exact"/>
              <w:ind w:left="72" w:right="136" w:firstLine="0"/>
              <w:jc w:val="left"/>
              <w:textAlignment w:val="baseline"/>
              <w:rPr>
                <w:rFonts w:ascii="Arial" w:eastAsia="Arial" w:hAnsi="Arial" w:cs="Times New Roman"/>
                <w:color w:val="auto"/>
                <w:sz w:val="20"/>
                <w:szCs w:val="20"/>
                <w:lang w:val="es-ES"/>
              </w:rPr>
            </w:pPr>
            <w:r w:rsidRPr="00043534">
              <w:rPr>
                <w:rFonts w:ascii="Arial" w:eastAsia="Arial" w:hAnsi="Arial" w:cs="Times New Roman"/>
                <w:color w:val="auto"/>
                <w:sz w:val="20"/>
                <w:szCs w:val="20"/>
                <w:lang w:val="es-ES"/>
              </w:rPr>
              <w:t>a) La implementación de los medios de almacenamiento (Racks, anaqueles, entre otros) y Lay-</w:t>
            </w:r>
            <w:proofErr w:type="spellStart"/>
            <w:r w:rsidRPr="00043534">
              <w:rPr>
                <w:rFonts w:ascii="Arial" w:eastAsia="Arial" w:hAnsi="Arial" w:cs="Times New Roman"/>
                <w:color w:val="auto"/>
                <w:sz w:val="20"/>
                <w:szCs w:val="20"/>
                <w:lang w:val="es-ES"/>
              </w:rPr>
              <w:t>out</w:t>
            </w:r>
            <w:proofErr w:type="spellEnd"/>
            <w:r w:rsidRPr="00043534">
              <w:rPr>
                <w:rFonts w:ascii="Arial" w:eastAsia="Arial" w:hAnsi="Arial" w:cs="Times New Roman"/>
                <w:color w:val="auto"/>
                <w:sz w:val="20"/>
                <w:szCs w:val="20"/>
                <w:lang w:val="es-ES"/>
              </w:rPr>
              <w:t xml:space="preserve"> óptimo de los 5 nuevos almacenes.</w:t>
            </w:r>
          </w:p>
          <w:p w14:paraId="7910DA8A" w14:textId="77777777" w:rsidR="00453D75" w:rsidRPr="00043534" w:rsidRDefault="00453D75" w:rsidP="00390C55">
            <w:pPr>
              <w:spacing w:before="86" w:after="68" w:line="228" w:lineRule="exact"/>
              <w:ind w:left="72" w:right="136" w:firstLine="0"/>
              <w:jc w:val="left"/>
              <w:textAlignment w:val="baseline"/>
              <w:rPr>
                <w:rFonts w:ascii="Arial" w:eastAsia="Arial" w:hAnsi="Arial" w:cs="Times New Roman"/>
                <w:color w:val="auto"/>
                <w:sz w:val="20"/>
                <w:szCs w:val="20"/>
                <w:lang w:val="es-ES"/>
              </w:rPr>
            </w:pPr>
            <w:r w:rsidRPr="00043534">
              <w:rPr>
                <w:rFonts w:ascii="Arial" w:eastAsia="Arial" w:hAnsi="Arial" w:cs="Times New Roman"/>
                <w:color w:val="auto"/>
                <w:sz w:val="20"/>
                <w:szCs w:val="20"/>
                <w:lang w:val="es-ES"/>
              </w:rPr>
              <w:t>b) La implementación de los equipos de carga, elevadores, estocas, herramientas, entre otros necesarios para el funcionamiento óptimo de los 5 nuevos almacenes.</w:t>
            </w:r>
          </w:p>
        </w:tc>
        <w:tc>
          <w:tcPr>
            <w:tcW w:w="709" w:type="dxa"/>
            <w:tcBorders>
              <w:top w:val="single" w:sz="4" w:space="0" w:color="000000"/>
              <w:left w:val="single" w:sz="4" w:space="0" w:color="000000"/>
              <w:bottom w:val="single" w:sz="4" w:space="0" w:color="000000"/>
              <w:right w:val="single" w:sz="4" w:space="0" w:color="000000"/>
            </w:tcBorders>
            <w:vAlign w:val="center"/>
          </w:tcPr>
          <w:p w14:paraId="169CC823" w14:textId="77777777" w:rsidR="00453D75" w:rsidRPr="00043534" w:rsidRDefault="00453D75" w:rsidP="00390C55">
            <w:pPr>
              <w:spacing w:before="209" w:after="173" w:line="228" w:lineRule="exact"/>
              <w:ind w:left="0" w:right="180" w:firstLine="0"/>
              <w:jc w:val="right"/>
              <w:textAlignment w:val="baseline"/>
              <w:rPr>
                <w:rFonts w:ascii="Arial" w:eastAsia="Arial" w:hAnsi="Arial" w:cs="Times New Roman"/>
                <w:color w:val="auto"/>
                <w:sz w:val="20"/>
                <w:szCs w:val="20"/>
                <w:lang w:val="es-ES"/>
              </w:rPr>
            </w:pPr>
            <w:r>
              <w:rPr>
                <w:rFonts w:ascii="Arial" w:eastAsia="Arial" w:hAnsi="Arial" w:cs="Times New Roman"/>
                <w:color w:val="auto"/>
                <w:sz w:val="20"/>
                <w:szCs w:val="20"/>
                <w:lang w:val="es-ES"/>
              </w:rPr>
              <w:t>GLB</w:t>
            </w:r>
          </w:p>
        </w:tc>
        <w:tc>
          <w:tcPr>
            <w:tcW w:w="567" w:type="dxa"/>
            <w:tcBorders>
              <w:top w:val="single" w:sz="4" w:space="0" w:color="000000"/>
              <w:left w:val="single" w:sz="4" w:space="0" w:color="000000"/>
              <w:bottom w:val="single" w:sz="4" w:space="0" w:color="000000"/>
              <w:right w:val="single" w:sz="4" w:space="0" w:color="000000"/>
            </w:tcBorders>
            <w:vAlign w:val="center"/>
          </w:tcPr>
          <w:p w14:paraId="17B69EB0" w14:textId="77777777" w:rsidR="00453D75" w:rsidRPr="00043534" w:rsidRDefault="00453D75" w:rsidP="00390C55">
            <w:pPr>
              <w:spacing w:before="209" w:after="173" w:line="228" w:lineRule="exact"/>
              <w:ind w:left="0" w:right="135" w:firstLine="0"/>
              <w:jc w:val="center"/>
              <w:textAlignment w:val="baseline"/>
              <w:rPr>
                <w:rFonts w:ascii="Arial" w:eastAsia="Arial" w:hAnsi="Arial" w:cs="Times New Roman"/>
                <w:color w:val="auto"/>
                <w:sz w:val="20"/>
                <w:szCs w:val="20"/>
                <w:lang w:val="es-ES"/>
              </w:rPr>
            </w:pPr>
            <w:r w:rsidRPr="00043534">
              <w:rPr>
                <w:rFonts w:ascii="Arial" w:eastAsia="Arial" w:hAnsi="Arial" w:cs="Times New Roman"/>
                <w:color w:val="auto"/>
                <w:sz w:val="20"/>
                <w:szCs w:val="20"/>
                <w:lang w:val="es-ES"/>
              </w:rPr>
              <w:t>1</w:t>
            </w:r>
          </w:p>
        </w:tc>
        <w:tc>
          <w:tcPr>
            <w:tcW w:w="850" w:type="dxa"/>
            <w:tcBorders>
              <w:top w:val="single" w:sz="4" w:space="0" w:color="000000"/>
              <w:left w:val="single" w:sz="4" w:space="0" w:color="000000"/>
              <w:bottom w:val="single" w:sz="4" w:space="0" w:color="000000"/>
              <w:right w:val="single" w:sz="4" w:space="0" w:color="000000"/>
            </w:tcBorders>
          </w:tcPr>
          <w:p w14:paraId="53F293B6" w14:textId="77777777" w:rsidR="00453D75" w:rsidRPr="00043534" w:rsidRDefault="00453D75" w:rsidP="00390C55">
            <w:pPr>
              <w:spacing w:after="0" w:line="240" w:lineRule="auto"/>
              <w:ind w:left="0" w:right="0" w:firstLine="0"/>
              <w:jc w:val="center"/>
              <w:textAlignment w:val="baseline"/>
              <w:rPr>
                <w:rFonts w:ascii="Arial" w:eastAsia="Arial" w:hAnsi="Arial" w:cs="Times New Roman"/>
                <w:color w:val="auto"/>
                <w:szCs w:val="20"/>
              </w:rPr>
            </w:pPr>
          </w:p>
        </w:tc>
        <w:tc>
          <w:tcPr>
            <w:tcW w:w="1134" w:type="dxa"/>
            <w:tcBorders>
              <w:top w:val="single" w:sz="4" w:space="0" w:color="000000"/>
              <w:left w:val="single" w:sz="4" w:space="0" w:color="000000"/>
              <w:bottom w:val="single" w:sz="4" w:space="0" w:color="000000"/>
              <w:right w:val="single" w:sz="4" w:space="0" w:color="000000"/>
            </w:tcBorders>
          </w:tcPr>
          <w:p w14:paraId="1C199BCA" w14:textId="77777777" w:rsidR="00453D75" w:rsidRPr="00043534" w:rsidRDefault="00453D75" w:rsidP="00390C55">
            <w:pPr>
              <w:spacing w:after="0" w:line="240" w:lineRule="auto"/>
              <w:ind w:left="0" w:right="0" w:firstLine="0"/>
              <w:jc w:val="left"/>
              <w:textAlignment w:val="baseline"/>
              <w:rPr>
                <w:rFonts w:ascii="Arial" w:eastAsia="Arial" w:hAnsi="Arial" w:cs="Times New Roman"/>
                <w:color w:val="auto"/>
                <w:szCs w:val="20"/>
              </w:rPr>
            </w:pPr>
          </w:p>
        </w:tc>
      </w:tr>
      <w:tr w:rsidR="00453D75" w:rsidRPr="00043534" w14:paraId="217A4449" w14:textId="77777777" w:rsidTr="00390C55">
        <w:trPr>
          <w:trHeight w:hRule="exact" w:val="2270"/>
        </w:trPr>
        <w:tc>
          <w:tcPr>
            <w:tcW w:w="656" w:type="dxa"/>
            <w:tcBorders>
              <w:top w:val="single" w:sz="4" w:space="0" w:color="000000"/>
              <w:left w:val="single" w:sz="4" w:space="0" w:color="000000"/>
              <w:bottom w:val="single" w:sz="4" w:space="0" w:color="000000"/>
              <w:right w:val="single" w:sz="4" w:space="0" w:color="000000"/>
            </w:tcBorders>
            <w:vAlign w:val="center"/>
          </w:tcPr>
          <w:p w14:paraId="78C461D7" w14:textId="77777777" w:rsidR="00453D75" w:rsidRPr="00043534" w:rsidRDefault="00453D75" w:rsidP="00390C55">
            <w:pPr>
              <w:spacing w:before="195" w:after="187" w:line="228" w:lineRule="exact"/>
              <w:ind w:left="0" w:right="-5" w:firstLine="0"/>
              <w:jc w:val="center"/>
              <w:textAlignment w:val="baseline"/>
              <w:rPr>
                <w:rFonts w:ascii="Arial" w:eastAsia="Arial" w:hAnsi="Arial" w:cs="Times New Roman"/>
                <w:b/>
                <w:color w:val="auto"/>
                <w:sz w:val="20"/>
                <w:szCs w:val="20"/>
                <w:lang w:val="es-ES"/>
              </w:rPr>
            </w:pPr>
            <w:r w:rsidRPr="00043534">
              <w:rPr>
                <w:rFonts w:ascii="Arial" w:eastAsia="Arial" w:hAnsi="Arial" w:cs="Times New Roman"/>
                <w:b/>
                <w:color w:val="auto"/>
                <w:sz w:val="20"/>
                <w:szCs w:val="20"/>
                <w:lang w:val="es-ES"/>
              </w:rPr>
              <w:t xml:space="preserve"> 2</w:t>
            </w:r>
          </w:p>
        </w:tc>
        <w:tc>
          <w:tcPr>
            <w:tcW w:w="5812" w:type="dxa"/>
            <w:tcBorders>
              <w:top w:val="single" w:sz="4" w:space="0" w:color="000000"/>
              <w:left w:val="single" w:sz="4" w:space="0" w:color="000000"/>
              <w:bottom w:val="single" w:sz="4" w:space="0" w:color="000000"/>
              <w:right w:val="single" w:sz="4" w:space="0" w:color="000000"/>
            </w:tcBorders>
          </w:tcPr>
          <w:p w14:paraId="20EA5EC2" w14:textId="77777777" w:rsidR="00453D75" w:rsidRPr="00043534" w:rsidRDefault="00453D75" w:rsidP="00390C55">
            <w:pPr>
              <w:spacing w:before="86" w:after="68" w:line="228" w:lineRule="exact"/>
              <w:ind w:left="72" w:right="136" w:firstLine="0"/>
              <w:textAlignment w:val="baseline"/>
              <w:rPr>
                <w:rFonts w:ascii="Arial" w:eastAsia="Arial" w:hAnsi="Arial" w:cs="Times New Roman"/>
                <w:b/>
                <w:color w:val="auto"/>
                <w:sz w:val="20"/>
                <w:szCs w:val="20"/>
                <w:lang w:val="es-ES"/>
              </w:rPr>
            </w:pPr>
            <w:r w:rsidRPr="00043534">
              <w:rPr>
                <w:rFonts w:ascii="Arial" w:eastAsia="Arial" w:hAnsi="Arial" w:cs="Times New Roman"/>
                <w:b/>
                <w:color w:val="auto"/>
                <w:sz w:val="20"/>
                <w:szCs w:val="20"/>
                <w:lang w:val="es-ES"/>
              </w:rPr>
              <w:t xml:space="preserve">Absolución de consultas y evaluación de propuestas técnicas. </w:t>
            </w:r>
            <w:r w:rsidRPr="00043534">
              <w:rPr>
                <w:rFonts w:ascii="Arial" w:eastAsia="Arial" w:hAnsi="Arial" w:cs="Times New Roman"/>
                <w:b/>
                <w:color w:val="auto"/>
                <w:sz w:val="20"/>
                <w:szCs w:val="20"/>
                <w:lang w:val="es-ES"/>
              </w:rPr>
              <w:tab/>
            </w:r>
          </w:p>
          <w:p w14:paraId="5A41F072" w14:textId="77777777" w:rsidR="00453D75" w:rsidRPr="00043534" w:rsidRDefault="00453D75" w:rsidP="00390C55">
            <w:pPr>
              <w:spacing w:before="86" w:after="68" w:line="228" w:lineRule="exact"/>
              <w:ind w:left="72" w:right="136" w:firstLine="0"/>
              <w:textAlignment w:val="baseline"/>
              <w:rPr>
                <w:rFonts w:ascii="Arial" w:eastAsia="Arial" w:hAnsi="Arial" w:cs="Times New Roman"/>
                <w:color w:val="auto"/>
                <w:sz w:val="20"/>
                <w:szCs w:val="20"/>
                <w:lang w:val="es-ES"/>
              </w:rPr>
            </w:pPr>
            <w:r w:rsidRPr="00043534">
              <w:rPr>
                <w:rFonts w:ascii="Arial" w:eastAsia="Arial" w:hAnsi="Arial" w:cs="Times New Roman"/>
                <w:color w:val="auto"/>
                <w:sz w:val="20"/>
                <w:szCs w:val="20"/>
                <w:lang w:val="es-ES"/>
              </w:rPr>
              <w:t>Participar en absolución de consultas técnicas y evaluación de Propuestas Técnicas de los postores en el Proceso que convoque PETROPERU, para la implementación de los medios de almacenamiento (Racks, anaqueles, entre otros). La respuesta a las consultas técnicas y la evaluación de las propuestas técnicas, deberán ser remitidas con carta en un plazo máximo</w:t>
            </w:r>
            <w:r>
              <w:rPr>
                <w:rFonts w:ascii="Arial" w:eastAsia="Arial" w:hAnsi="Arial" w:cs="Times New Roman"/>
                <w:color w:val="auto"/>
                <w:sz w:val="20"/>
                <w:szCs w:val="20"/>
                <w:lang w:val="es-ES"/>
              </w:rPr>
              <w:t xml:space="preserve"> de 5</w:t>
            </w:r>
            <w:r w:rsidRPr="00043534">
              <w:rPr>
                <w:rFonts w:ascii="Arial" w:eastAsia="Arial" w:hAnsi="Arial" w:cs="Times New Roman"/>
                <w:color w:val="auto"/>
                <w:sz w:val="20"/>
                <w:szCs w:val="20"/>
                <w:lang w:val="es-ES"/>
              </w:rPr>
              <w:t xml:space="preserve"> días calendario de solicitada las mismas.</w:t>
            </w:r>
          </w:p>
        </w:tc>
        <w:tc>
          <w:tcPr>
            <w:tcW w:w="709" w:type="dxa"/>
            <w:tcBorders>
              <w:top w:val="single" w:sz="4" w:space="0" w:color="000000"/>
              <w:left w:val="single" w:sz="4" w:space="0" w:color="000000"/>
              <w:bottom w:val="single" w:sz="4" w:space="0" w:color="000000"/>
              <w:right w:val="single" w:sz="4" w:space="0" w:color="000000"/>
            </w:tcBorders>
            <w:vAlign w:val="center"/>
          </w:tcPr>
          <w:p w14:paraId="2EB2398E" w14:textId="77777777" w:rsidR="00453D75" w:rsidRPr="00043534" w:rsidRDefault="00453D75" w:rsidP="00390C55">
            <w:pPr>
              <w:spacing w:before="209" w:after="173" w:line="228" w:lineRule="exact"/>
              <w:ind w:left="0" w:right="180" w:firstLine="0"/>
              <w:jc w:val="right"/>
              <w:textAlignment w:val="baseline"/>
              <w:rPr>
                <w:rFonts w:ascii="Arial" w:eastAsia="Arial" w:hAnsi="Arial" w:cs="Times New Roman"/>
                <w:color w:val="auto"/>
                <w:sz w:val="20"/>
                <w:szCs w:val="20"/>
                <w:lang w:val="es-ES"/>
              </w:rPr>
            </w:pPr>
            <w:r>
              <w:rPr>
                <w:rFonts w:ascii="Arial" w:eastAsia="Arial" w:hAnsi="Arial" w:cs="Times New Roman"/>
                <w:color w:val="auto"/>
                <w:sz w:val="20"/>
                <w:szCs w:val="20"/>
                <w:lang w:val="es-ES"/>
              </w:rPr>
              <w:t>GLB</w:t>
            </w:r>
          </w:p>
        </w:tc>
        <w:tc>
          <w:tcPr>
            <w:tcW w:w="567" w:type="dxa"/>
            <w:tcBorders>
              <w:top w:val="single" w:sz="4" w:space="0" w:color="000000"/>
              <w:left w:val="single" w:sz="4" w:space="0" w:color="000000"/>
              <w:bottom w:val="single" w:sz="4" w:space="0" w:color="000000"/>
              <w:right w:val="single" w:sz="4" w:space="0" w:color="000000"/>
            </w:tcBorders>
            <w:vAlign w:val="center"/>
          </w:tcPr>
          <w:p w14:paraId="0656C4E5" w14:textId="77777777" w:rsidR="00453D75" w:rsidRPr="00043534" w:rsidRDefault="00453D75" w:rsidP="00390C55">
            <w:pPr>
              <w:spacing w:before="209" w:after="173" w:line="228" w:lineRule="exact"/>
              <w:ind w:left="0" w:right="135" w:firstLine="0"/>
              <w:jc w:val="center"/>
              <w:textAlignment w:val="baseline"/>
              <w:rPr>
                <w:rFonts w:ascii="Arial" w:eastAsia="Arial" w:hAnsi="Arial" w:cs="Times New Roman"/>
                <w:color w:val="auto"/>
                <w:sz w:val="20"/>
                <w:szCs w:val="20"/>
                <w:lang w:val="es-ES"/>
              </w:rPr>
            </w:pPr>
            <w:r w:rsidRPr="00043534">
              <w:rPr>
                <w:rFonts w:ascii="Arial" w:eastAsia="Arial" w:hAnsi="Arial" w:cs="Times New Roman"/>
                <w:color w:val="auto"/>
                <w:sz w:val="20"/>
                <w:szCs w:val="20"/>
                <w:lang w:val="es-ES"/>
              </w:rPr>
              <w:t>1</w:t>
            </w:r>
          </w:p>
        </w:tc>
        <w:tc>
          <w:tcPr>
            <w:tcW w:w="850" w:type="dxa"/>
            <w:tcBorders>
              <w:top w:val="single" w:sz="4" w:space="0" w:color="000000"/>
              <w:left w:val="single" w:sz="4" w:space="0" w:color="000000"/>
              <w:bottom w:val="single" w:sz="4" w:space="0" w:color="000000"/>
              <w:right w:val="single" w:sz="4" w:space="0" w:color="000000"/>
            </w:tcBorders>
          </w:tcPr>
          <w:p w14:paraId="49CC4388" w14:textId="77777777" w:rsidR="00453D75" w:rsidRPr="00043534" w:rsidRDefault="00453D75" w:rsidP="00390C55">
            <w:pPr>
              <w:spacing w:after="0" w:line="240" w:lineRule="auto"/>
              <w:ind w:left="0" w:right="0" w:firstLine="0"/>
              <w:jc w:val="left"/>
              <w:textAlignment w:val="baseline"/>
              <w:rPr>
                <w:rFonts w:ascii="Arial" w:eastAsia="Arial" w:hAnsi="Arial" w:cs="Times New Roman"/>
                <w:color w:val="auto"/>
                <w:szCs w:val="20"/>
              </w:rPr>
            </w:pPr>
          </w:p>
        </w:tc>
        <w:tc>
          <w:tcPr>
            <w:tcW w:w="1134" w:type="dxa"/>
            <w:tcBorders>
              <w:top w:val="single" w:sz="4" w:space="0" w:color="000000"/>
              <w:left w:val="single" w:sz="4" w:space="0" w:color="000000"/>
              <w:bottom w:val="single" w:sz="4" w:space="0" w:color="000000"/>
              <w:right w:val="single" w:sz="4" w:space="0" w:color="000000"/>
            </w:tcBorders>
          </w:tcPr>
          <w:p w14:paraId="3C47970B" w14:textId="77777777" w:rsidR="00453D75" w:rsidRPr="00043534" w:rsidRDefault="00453D75" w:rsidP="00390C55">
            <w:pPr>
              <w:spacing w:after="0" w:line="240" w:lineRule="auto"/>
              <w:ind w:left="0" w:right="0" w:firstLine="0"/>
              <w:jc w:val="left"/>
              <w:textAlignment w:val="baseline"/>
              <w:rPr>
                <w:rFonts w:ascii="Arial" w:eastAsia="Arial" w:hAnsi="Arial" w:cs="Times New Roman"/>
                <w:color w:val="auto"/>
                <w:szCs w:val="20"/>
              </w:rPr>
            </w:pPr>
          </w:p>
        </w:tc>
      </w:tr>
      <w:tr w:rsidR="00453D75" w:rsidRPr="00043534" w14:paraId="310E5412" w14:textId="77777777" w:rsidTr="00390C55">
        <w:trPr>
          <w:trHeight w:hRule="exact" w:val="3969"/>
        </w:trPr>
        <w:tc>
          <w:tcPr>
            <w:tcW w:w="656" w:type="dxa"/>
            <w:tcBorders>
              <w:top w:val="single" w:sz="4" w:space="0" w:color="000000"/>
              <w:left w:val="single" w:sz="4" w:space="0" w:color="000000"/>
              <w:bottom w:val="single" w:sz="4" w:space="0" w:color="000000"/>
              <w:right w:val="single" w:sz="4" w:space="0" w:color="000000"/>
            </w:tcBorders>
            <w:vAlign w:val="center"/>
          </w:tcPr>
          <w:p w14:paraId="6A9A5C57" w14:textId="77777777" w:rsidR="00453D75" w:rsidRPr="00043534" w:rsidRDefault="00453D75" w:rsidP="00390C55">
            <w:pPr>
              <w:spacing w:after="187" w:line="228" w:lineRule="exact"/>
              <w:ind w:left="0" w:right="-6" w:firstLine="0"/>
              <w:jc w:val="center"/>
              <w:textAlignment w:val="baseline"/>
              <w:rPr>
                <w:rFonts w:ascii="Arial" w:eastAsia="Arial" w:hAnsi="Arial" w:cs="Times New Roman"/>
                <w:b/>
                <w:color w:val="auto"/>
                <w:sz w:val="20"/>
                <w:szCs w:val="20"/>
                <w:lang w:val="es-ES"/>
              </w:rPr>
            </w:pPr>
            <w:r w:rsidRPr="00043534">
              <w:rPr>
                <w:rFonts w:ascii="Arial" w:eastAsia="Arial" w:hAnsi="Arial" w:cs="Times New Roman"/>
                <w:b/>
                <w:color w:val="auto"/>
                <w:sz w:val="20"/>
                <w:szCs w:val="20"/>
                <w:lang w:val="es-ES"/>
              </w:rPr>
              <w:t>3</w:t>
            </w:r>
          </w:p>
        </w:tc>
        <w:tc>
          <w:tcPr>
            <w:tcW w:w="5812" w:type="dxa"/>
            <w:tcBorders>
              <w:top w:val="single" w:sz="4" w:space="0" w:color="000000"/>
              <w:left w:val="single" w:sz="4" w:space="0" w:color="000000"/>
              <w:bottom w:val="single" w:sz="4" w:space="0" w:color="000000"/>
              <w:right w:val="single" w:sz="4" w:space="0" w:color="000000"/>
            </w:tcBorders>
          </w:tcPr>
          <w:p w14:paraId="3ED55BCF" w14:textId="77777777" w:rsidR="00453D75" w:rsidRPr="00043534" w:rsidRDefault="00453D75" w:rsidP="00390C55">
            <w:pPr>
              <w:spacing w:before="86" w:after="68" w:line="228" w:lineRule="exact"/>
              <w:ind w:left="72" w:right="136" w:firstLine="0"/>
              <w:jc w:val="left"/>
              <w:textAlignment w:val="baseline"/>
              <w:rPr>
                <w:rFonts w:ascii="Arial" w:eastAsia="Arial" w:hAnsi="Arial" w:cs="Times New Roman"/>
                <w:b/>
                <w:color w:val="auto"/>
                <w:sz w:val="20"/>
                <w:szCs w:val="20"/>
                <w:lang w:val="es-ES"/>
              </w:rPr>
            </w:pPr>
            <w:r w:rsidRPr="00043534">
              <w:rPr>
                <w:rFonts w:ascii="Arial" w:eastAsia="Arial" w:hAnsi="Arial" w:cs="Times New Roman"/>
                <w:b/>
                <w:color w:val="auto"/>
                <w:sz w:val="20"/>
                <w:szCs w:val="20"/>
                <w:lang w:val="es-ES"/>
              </w:rPr>
              <w:t xml:space="preserve">Supervisión y verificación de implementación de nuevos almacenes.             </w:t>
            </w:r>
          </w:p>
          <w:p w14:paraId="1A2FE4C0" w14:textId="77777777" w:rsidR="00453D75" w:rsidRDefault="00453D75" w:rsidP="00390C55">
            <w:pPr>
              <w:spacing w:before="86" w:after="68" w:line="228" w:lineRule="exact"/>
              <w:ind w:left="72" w:right="136" w:firstLine="0"/>
              <w:jc w:val="left"/>
              <w:textAlignment w:val="baseline"/>
              <w:rPr>
                <w:rFonts w:ascii="Arial" w:eastAsia="Arial" w:hAnsi="Arial" w:cs="Times New Roman"/>
                <w:color w:val="auto"/>
                <w:sz w:val="20"/>
                <w:szCs w:val="20"/>
                <w:lang w:val="es-ES"/>
              </w:rPr>
            </w:pPr>
            <w:r w:rsidRPr="00043534">
              <w:rPr>
                <w:rFonts w:ascii="Arial" w:eastAsia="Arial" w:hAnsi="Arial" w:cs="Times New Roman"/>
                <w:color w:val="auto"/>
                <w:sz w:val="20"/>
                <w:szCs w:val="20"/>
                <w:lang w:val="es-ES"/>
              </w:rPr>
              <w:t>Supervisar la recepción e instalación física de los medios de almacenamiento (Racks, anaqueles, entre otros) suministrados por el proveedor seleccionado para la implementación de los 5 nuevos almacenes de Refinería Talara, para lo cual, durant</w:t>
            </w:r>
            <w:r>
              <w:rPr>
                <w:rFonts w:ascii="Arial" w:eastAsia="Arial" w:hAnsi="Arial" w:cs="Times New Roman"/>
                <w:color w:val="auto"/>
                <w:sz w:val="20"/>
                <w:szCs w:val="20"/>
                <w:lang w:val="es-ES"/>
              </w:rPr>
              <w:t xml:space="preserve">e la implementación, </w:t>
            </w:r>
            <w:r w:rsidRPr="00263EE8">
              <w:rPr>
                <w:rFonts w:ascii="Arial" w:eastAsia="Arial" w:hAnsi="Arial" w:cs="Times New Roman"/>
                <w:color w:val="auto"/>
                <w:sz w:val="20"/>
                <w:szCs w:val="20"/>
                <w:lang w:val="es-ES"/>
              </w:rPr>
              <w:t xml:space="preserve">efectuara 4 </w:t>
            </w:r>
            <w:r w:rsidRPr="00043534">
              <w:rPr>
                <w:rFonts w:ascii="Arial" w:eastAsia="Arial" w:hAnsi="Arial" w:cs="Times New Roman"/>
                <w:color w:val="auto"/>
                <w:sz w:val="20"/>
                <w:szCs w:val="20"/>
                <w:lang w:val="es-ES"/>
              </w:rPr>
              <w:t>visitas técnicas de acuerdo a lo</w:t>
            </w:r>
            <w:r>
              <w:rPr>
                <w:rFonts w:ascii="Arial" w:eastAsia="Arial" w:hAnsi="Arial" w:cs="Times New Roman"/>
                <w:color w:val="auto"/>
                <w:sz w:val="20"/>
                <w:szCs w:val="20"/>
                <w:lang w:val="es-ES"/>
              </w:rPr>
              <w:t xml:space="preserve"> indicado en el numeral 2 de las presentes condiciones técnicas.</w:t>
            </w:r>
            <w:r w:rsidRPr="00043534">
              <w:rPr>
                <w:rFonts w:ascii="Arial" w:eastAsia="Arial" w:hAnsi="Arial" w:cs="Times New Roman"/>
                <w:color w:val="auto"/>
                <w:sz w:val="20"/>
                <w:szCs w:val="20"/>
                <w:lang w:val="es-ES"/>
              </w:rPr>
              <w:t xml:space="preserve"> </w:t>
            </w:r>
          </w:p>
          <w:p w14:paraId="3A675757" w14:textId="77777777" w:rsidR="00453D75" w:rsidRPr="00043534" w:rsidRDefault="00453D75" w:rsidP="00390C55">
            <w:pPr>
              <w:spacing w:before="86" w:after="68" w:line="228" w:lineRule="exact"/>
              <w:ind w:left="72" w:right="136" w:firstLine="0"/>
              <w:jc w:val="left"/>
              <w:textAlignment w:val="baseline"/>
              <w:rPr>
                <w:rFonts w:ascii="Arial" w:eastAsia="Arial" w:hAnsi="Arial" w:cs="Times New Roman"/>
                <w:color w:val="auto"/>
                <w:sz w:val="20"/>
                <w:szCs w:val="20"/>
                <w:lang w:val="es-ES"/>
              </w:rPr>
            </w:pPr>
            <w:r w:rsidRPr="00043534">
              <w:rPr>
                <w:rFonts w:ascii="Arial" w:eastAsia="Arial" w:hAnsi="Arial" w:cs="Times New Roman"/>
                <w:color w:val="auto"/>
                <w:sz w:val="20"/>
                <w:szCs w:val="20"/>
                <w:lang w:val="es-ES"/>
              </w:rPr>
              <w:t xml:space="preserve">                                                                                            </w:t>
            </w:r>
            <w:r>
              <w:rPr>
                <w:rFonts w:ascii="Arial" w:eastAsia="Arial" w:hAnsi="Arial" w:cs="Times New Roman"/>
                <w:color w:val="auto"/>
                <w:sz w:val="20"/>
                <w:szCs w:val="20"/>
                <w:lang w:val="es-ES"/>
              </w:rPr>
              <w:t xml:space="preserve">    </w:t>
            </w:r>
            <w:r w:rsidRPr="00043534">
              <w:rPr>
                <w:rFonts w:ascii="Arial" w:eastAsia="Arial" w:hAnsi="Arial" w:cs="Times New Roman"/>
                <w:color w:val="auto"/>
                <w:sz w:val="20"/>
                <w:szCs w:val="20"/>
                <w:lang w:val="es-ES"/>
              </w:rPr>
              <w:t xml:space="preserve">  </w:t>
            </w:r>
            <w:bookmarkStart w:id="1" w:name="_Hlk37770991"/>
            <w:r w:rsidRPr="00C95E89">
              <w:rPr>
                <w:rFonts w:ascii="Arial" w:eastAsia="Arial" w:hAnsi="Arial" w:cs="Times New Roman"/>
                <w:color w:val="auto"/>
                <w:sz w:val="20"/>
                <w:szCs w:val="20"/>
                <w:u w:val="single"/>
                <w:lang w:val="es-ES"/>
              </w:rPr>
              <w:t>1° visita</w:t>
            </w:r>
            <w:r w:rsidRPr="00043534">
              <w:rPr>
                <w:rFonts w:ascii="Arial" w:eastAsia="Arial" w:hAnsi="Arial" w:cs="Times New Roman"/>
                <w:color w:val="auto"/>
                <w:sz w:val="20"/>
                <w:szCs w:val="20"/>
                <w:lang w:val="es-ES"/>
              </w:rPr>
              <w:t>: Al inicio</w:t>
            </w:r>
            <w:r>
              <w:rPr>
                <w:rFonts w:ascii="Arial" w:eastAsia="Arial" w:hAnsi="Arial" w:cs="Times New Roman"/>
                <w:color w:val="auto"/>
                <w:sz w:val="20"/>
                <w:szCs w:val="20"/>
                <w:lang w:val="es-ES"/>
              </w:rPr>
              <w:t xml:space="preserve"> de la implementación.                                                    </w:t>
            </w:r>
            <w:r w:rsidRPr="00C95E89">
              <w:rPr>
                <w:rFonts w:ascii="Arial" w:eastAsia="Arial" w:hAnsi="Arial" w:cs="Times New Roman"/>
                <w:color w:val="auto"/>
                <w:sz w:val="20"/>
                <w:szCs w:val="20"/>
                <w:u w:val="single"/>
                <w:lang w:val="es-ES"/>
              </w:rPr>
              <w:t>2° visita</w:t>
            </w:r>
            <w:r>
              <w:rPr>
                <w:rFonts w:ascii="Arial" w:eastAsia="Arial" w:hAnsi="Arial" w:cs="Times New Roman"/>
                <w:color w:val="auto"/>
                <w:sz w:val="20"/>
                <w:szCs w:val="20"/>
                <w:lang w:val="es-ES"/>
              </w:rPr>
              <w:t>: Al 40 % de avance.</w:t>
            </w:r>
            <w:r w:rsidRPr="00043534">
              <w:rPr>
                <w:rFonts w:ascii="Arial" w:eastAsia="Arial" w:hAnsi="Arial" w:cs="Times New Roman"/>
                <w:color w:val="auto"/>
                <w:sz w:val="20"/>
                <w:szCs w:val="20"/>
                <w:lang w:val="es-ES"/>
              </w:rPr>
              <w:t xml:space="preserve">                                                                                                                                                         </w:t>
            </w:r>
            <w:r w:rsidRPr="00C95E89">
              <w:rPr>
                <w:rFonts w:ascii="Arial" w:eastAsia="Arial" w:hAnsi="Arial" w:cs="Times New Roman"/>
                <w:color w:val="auto"/>
                <w:sz w:val="20"/>
                <w:szCs w:val="20"/>
                <w:u w:val="single"/>
                <w:lang w:val="es-ES"/>
              </w:rPr>
              <w:t>3° visita</w:t>
            </w:r>
            <w:r w:rsidRPr="00B80E66">
              <w:rPr>
                <w:rFonts w:ascii="Arial" w:eastAsia="Arial" w:hAnsi="Arial" w:cs="Times New Roman"/>
                <w:color w:val="auto"/>
                <w:sz w:val="20"/>
                <w:szCs w:val="20"/>
                <w:lang w:val="es-ES"/>
              </w:rPr>
              <w:t>: Al término de l</w:t>
            </w:r>
            <w:r>
              <w:rPr>
                <w:rFonts w:ascii="Arial" w:eastAsia="Arial" w:hAnsi="Arial" w:cs="Times New Roman"/>
                <w:color w:val="auto"/>
                <w:sz w:val="20"/>
                <w:szCs w:val="20"/>
                <w:lang w:val="es-ES"/>
              </w:rPr>
              <w:t>a implementación del 4° almacén.</w:t>
            </w:r>
            <w:r w:rsidRPr="00B80E66">
              <w:rPr>
                <w:rFonts w:ascii="Arial" w:eastAsia="Arial" w:hAnsi="Arial" w:cs="Times New Roman"/>
                <w:color w:val="auto"/>
                <w:sz w:val="20"/>
                <w:szCs w:val="20"/>
                <w:lang w:val="es-ES"/>
              </w:rPr>
              <w:t xml:space="preserve">                                  </w:t>
            </w:r>
            <w:r w:rsidRPr="00C95E89">
              <w:rPr>
                <w:rFonts w:ascii="Arial" w:eastAsia="Arial" w:hAnsi="Arial" w:cs="Times New Roman"/>
                <w:color w:val="auto"/>
                <w:sz w:val="20"/>
                <w:szCs w:val="20"/>
                <w:u w:val="single"/>
                <w:lang w:val="es-ES"/>
              </w:rPr>
              <w:t>4° visita</w:t>
            </w:r>
            <w:r w:rsidRPr="00B80E66">
              <w:rPr>
                <w:rFonts w:ascii="Arial" w:eastAsia="Arial" w:hAnsi="Arial" w:cs="Times New Roman"/>
                <w:color w:val="auto"/>
                <w:sz w:val="20"/>
                <w:szCs w:val="20"/>
                <w:lang w:val="es-ES"/>
              </w:rPr>
              <w:t>: Al término de la implementación</w:t>
            </w:r>
            <w:r>
              <w:rPr>
                <w:rFonts w:ascii="Arial" w:eastAsia="Arial" w:hAnsi="Arial" w:cs="Times New Roman"/>
                <w:color w:val="auto"/>
                <w:sz w:val="20"/>
                <w:szCs w:val="20"/>
                <w:lang w:val="es-ES"/>
              </w:rPr>
              <w:t xml:space="preserve"> del 5° almacén.</w:t>
            </w:r>
            <w:r w:rsidRPr="00043534">
              <w:rPr>
                <w:rFonts w:ascii="Arial" w:eastAsia="Arial" w:hAnsi="Arial" w:cs="Times New Roman"/>
                <w:color w:val="auto"/>
                <w:sz w:val="20"/>
                <w:szCs w:val="20"/>
                <w:lang w:val="es-ES"/>
              </w:rPr>
              <w:t xml:space="preserve"> </w:t>
            </w:r>
            <w:bookmarkEnd w:id="1"/>
          </w:p>
        </w:tc>
        <w:tc>
          <w:tcPr>
            <w:tcW w:w="709" w:type="dxa"/>
            <w:tcBorders>
              <w:top w:val="single" w:sz="4" w:space="0" w:color="000000"/>
              <w:left w:val="single" w:sz="4" w:space="0" w:color="000000"/>
              <w:bottom w:val="single" w:sz="4" w:space="0" w:color="000000"/>
              <w:right w:val="single" w:sz="4" w:space="0" w:color="000000"/>
            </w:tcBorders>
            <w:vAlign w:val="center"/>
          </w:tcPr>
          <w:p w14:paraId="298E8A49" w14:textId="77777777" w:rsidR="00453D75" w:rsidRPr="00043534" w:rsidRDefault="00453D75" w:rsidP="00390C55">
            <w:pPr>
              <w:spacing w:before="209" w:after="173" w:line="228" w:lineRule="exact"/>
              <w:ind w:left="0" w:right="180" w:firstLine="0"/>
              <w:jc w:val="right"/>
              <w:textAlignment w:val="baseline"/>
              <w:rPr>
                <w:rFonts w:ascii="Arial" w:eastAsia="Arial" w:hAnsi="Arial" w:cs="Times New Roman"/>
                <w:color w:val="auto"/>
                <w:sz w:val="20"/>
                <w:szCs w:val="20"/>
                <w:lang w:val="es-ES"/>
              </w:rPr>
            </w:pPr>
            <w:r w:rsidRPr="00043534">
              <w:rPr>
                <w:rFonts w:ascii="Arial" w:eastAsia="Arial" w:hAnsi="Arial" w:cs="Times New Roman"/>
                <w:color w:val="auto"/>
                <w:sz w:val="20"/>
                <w:szCs w:val="20"/>
                <w:lang w:val="es-ES"/>
              </w:rPr>
              <w:t>UN</w:t>
            </w:r>
          </w:p>
        </w:tc>
        <w:tc>
          <w:tcPr>
            <w:tcW w:w="567" w:type="dxa"/>
            <w:tcBorders>
              <w:top w:val="single" w:sz="4" w:space="0" w:color="000000"/>
              <w:left w:val="single" w:sz="4" w:space="0" w:color="000000"/>
              <w:bottom w:val="single" w:sz="4" w:space="0" w:color="000000"/>
              <w:right w:val="single" w:sz="4" w:space="0" w:color="000000"/>
            </w:tcBorders>
            <w:vAlign w:val="center"/>
          </w:tcPr>
          <w:p w14:paraId="5C5BD8A7" w14:textId="77777777" w:rsidR="00453D75" w:rsidRPr="00043534" w:rsidRDefault="00453D75" w:rsidP="00390C55">
            <w:pPr>
              <w:spacing w:before="209" w:after="173" w:line="228" w:lineRule="exact"/>
              <w:ind w:left="0" w:right="135" w:firstLine="0"/>
              <w:jc w:val="center"/>
              <w:textAlignment w:val="baseline"/>
              <w:rPr>
                <w:rFonts w:ascii="Arial" w:eastAsia="Arial" w:hAnsi="Arial" w:cs="Times New Roman"/>
                <w:color w:val="auto"/>
                <w:sz w:val="20"/>
                <w:szCs w:val="20"/>
                <w:lang w:val="es-ES"/>
              </w:rPr>
            </w:pPr>
            <w:r>
              <w:rPr>
                <w:rFonts w:ascii="Arial" w:eastAsia="Arial" w:hAnsi="Arial" w:cs="Times New Roman"/>
                <w:color w:val="auto"/>
                <w:sz w:val="20"/>
                <w:szCs w:val="20"/>
                <w:lang w:val="es-ES"/>
              </w:rPr>
              <w:t>4</w:t>
            </w:r>
          </w:p>
        </w:tc>
        <w:tc>
          <w:tcPr>
            <w:tcW w:w="850" w:type="dxa"/>
            <w:tcBorders>
              <w:top w:val="single" w:sz="4" w:space="0" w:color="000000"/>
              <w:left w:val="single" w:sz="4" w:space="0" w:color="000000"/>
              <w:bottom w:val="single" w:sz="4" w:space="0" w:color="000000"/>
              <w:right w:val="single" w:sz="4" w:space="0" w:color="000000"/>
            </w:tcBorders>
          </w:tcPr>
          <w:p w14:paraId="4A93591B" w14:textId="77777777" w:rsidR="00453D75" w:rsidRPr="00043534" w:rsidRDefault="00453D75" w:rsidP="00390C55">
            <w:pPr>
              <w:spacing w:after="0" w:line="240" w:lineRule="auto"/>
              <w:ind w:left="0" w:right="0" w:firstLine="0"/>
              <w:jc w:val="left"/>
              <w:textAlignment w:val="baseline"/>
              <w:rPr>
                <w:rFonts w:ascii="Arial" w:eastAsia="Arial" w:hAnsi="Arial" w:cs="Times New Roman"/>
                <w:color w:val="auto"/>
                <w:szCs w:val="20"/>
              </w:rPr>
            </w:pPr>
          </w:p>
        </w:tc>
        <w:tc>
          <w:tcPr>
            <w:tcW w:w="1134" w:type="dxa"/>
            <w:tcBorders>
              <w:top w:val="single" w:sz="4" w:space="0" w:color="000000"/>
              <w:left w:val="single" w:sz="4" w:space="0" w:color="000000"/>
              <w:bottom w:val="single" w:sz="4" w:space="0" w:color="000000"/>
              <w:right w:val="single" w:sz="4" w:space="0" w:color="000000"/>
            </w:tcBorders>
          </w:tcPr>
          <w:p w14:paraId="11CE43DE" w14:textId="77777777" w:rsidR="00453D75" w:rsidRPr="00043534" w:rsidRDefault="00453D75" w:rsidP="00390C55">
            <w:pPr>
              <w:spacing w:after="0" w:line="240" w:lineRule="auto"/>
              <w:ind w:left="0" w:right="0" w:firstLine="0"/>
              <w:jc w:val="left"/>
              <w:textAlignment w:val="baseline"/>
              <w:rPr>
                <w:rFonts w:ascii="Arial" w:eastAsia="Arial" w:hAnsi="Arial" w:cs="Times New Roman"/>
                <w:color w:val="auto"/>
                <w:szCs w:val="20"/>
              </w:rPr>
            </w:pPr>
          </w:p>
        </w:tc>
      </w:tr>
    </w:tbl>
    <w:tbl>
      <w:tblPr>
        <w:tblStyle w:val="Tablaconcuadrcula"/>
        <w:tblW w:w="10206" w:type="dxa"/>
        <w:jc w:val="center"/>
        <w:tblLayout w:type="fixed"/>
        <w:tblLook w:val="04A0" w:firstRow="1" w:lastRow="0" w:firstColumn="1" w:lastColumn="0" w:noHBand="0" w:noVBand="1"/>
      </w:tblPr>
      <w:tblGrid>
        <w:gridCol w:w="704"/>
        <w:gridCol w:w="851"/>
        <w:gridCol w:w="851"/>
        <w:gridCol w:w="1422"/>
        <w:gridCol w:w="5244"/>
        <w:gridCol w:w="1134"/>
      </w:tblGrid>
      <w:tr w:rsidR="00453D75" w:rsidRPr="00043534" w14:paraId="73CA9E35" w14:textId="77777777" w:rsidTr="00390C55">
        <w:trPr>
          <w:jc w:val="center"/>
        </w:trPr>
        <w:tc>
          <w:tcPr>
            <w:tcW w:w="704" w:type="dxa"/>
            <w:tcBorders>
              <w:top w:val="single" w:sz="4" w:space="0" w:color="auto"/>
              <w:left w:val="nil"/>
              <w:bottom w:val="nil"/>
              <w:right w:val="nil"/>
            </w:tcBorders>
          </w:tcPr>
          <w:p w14:paraId="0DBC07C4"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single" w:sz="4" w:space="0" w:color="auto"/>
              <w:left w:val="nil"/>
              <w:bottom w:val="nil"/>
              <w:right w:val="nil"/>
            </w:tcBorders>
          </w:tcPr>
          <w:p w14:paraId="018299C9"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single" w:sz="4" w:space="0" w:color="auto"/>
              <w:left w:val="nil"/>
              <w:bottom w:val="nil"/>
              <w:right w:val="nil"/>
            </w:tcBorders>
          </w:tcPr>
          <w:p w14:paraId="0A52749C"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1422" w:type="dxa"/>
            <w:tcBorders>
              <w:top w:val="single" w:sz="4" w:space="0" w:color="auto"/>
              <w:left w:val="nil"/>
              <w:bottom w:val="nil"/>
              <w:right w:val="single" w:sz="4" w:space="0" w:color="auto"/>
            </w:tcBorders>
          </w:tcPr>
          <w:p w14:paraId="18504E2E" w14:textId="77777777" w:rsidR="00453D75" w:rsidRPr="00043534" w:rsidRDefault="00453D75" w:rsidP="00390C55">
            <w:pPr>
              <w:spacing w:after="120" w:line="240" w:lineRule="auto"/>
              <w:ind w:left="0" w:right="0" w:firstLine="0"/>
              <w:jc w:val="center"/>
              <w:rPr>
                <w:rFonts w:ascii="Arial" w:eastAsia="Times New Roman" w:hAnsi="Arial" w:cs="Arial"/>
                <w:color w:val="auto"/>
                <w:sz w:val="20"/>
                <w:lang w:val="es-ES" w:eastAsia="es-ES"/>
              </w:rPr>
            </w:pPr>
          </w:p>
        </w:tc>
        <w:tc>
          <w:tcPr>
            <w:tcW w:w="5244" w:type="dxa"/>
            <w:tcBorders>
              <w:top w:val="single" w:sz="4" w:space="0" w:color="auto"/>
              <w:left w:val="single" w:sz="4" w:space="0" w:color="auto"/>
              <w:bottom w:val="single" w:sz="4" w:space="0" w:color="auto"/>
            </w:tcBorders>
          </w:tcPr>
          <w:p w14:paraId="5BD400F4"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r w:rsidRPr="00043534">
              <w:rPr>
                <w:rFonts w:ascii="Arial" w:eastAsia="Times New Roman" w:hAnsi="Arial" w:cs="Arial"/>
                <w:color w:val="auto"/>
                <w:sz w:val="20"/>
                <w:lang w:val="es-ES" w:eastAsia="es-ES"/>
              </w:rPr>
              <w:t>Total, Costo Directo</w:t>
            </w:r>
          </w:p>
        </w:tc>
        <w:tc>
          <w:tcPr>
            <w:tcW w:w="1134" w:type="dxa"/>
            <w:tcBorders>
              <w:top w:val="single" w:sz="4" w:space="0" w:color="auto"/>
              <w:bottom w:val="single" w:sz="4" w:space="0" w:color="auto"/>
            </w:tcBorders>
          </w:tcPr>
          <w:p w14:paraId="6F3588B6"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r>
      <w:tr w:rsidR="00453D75" w:rsidRPr="00043534" w14:paraId="7530710D" w14:textId="77777777" w:rsidTr="00390C55">
        <w:trPr>
          <w:jc w:val="center"/>
        </w:trPr>
        <w:tc>
          <w:tcPr>
            <w:tcW w:w="704" w:type="dxa"/>
            <w:tcBorders>
              <w:top w:val="nil"/>
              <w:left w:val="nil"/>
              <w:bottom w:val="nil"/>
              <w:right w:val="nil"/>
            </w:tcBorders>
          </w:tcPr>
          <w:p w14:paraId="3F244D44"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6EB506D6"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31D4377B"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1422" w:type="dxa"/>
            <w:tcBorders>
              <w:top w:val="nil"/>
              <w:left w:val="nil"/>
              <w:bottom w:val="nil"/>
              <w:right w:val="single" w:sz="4" w:space="0" w:color="auto"/>
            </w:tcBorders>
          </w:tcPr>
          <w:p w14:paraId="3561275A"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5244" w:type="dxa"/>
            <w:tcBorders>
              <w:top w:val="single" w:sz="4" w:space="0" w:color="auto"/>
              <w:left w:val="single" w:sz="4" w:space="0" w:color="auto"/>
              <w:bottom w:val="single" w:sz="4" w:space="0" w:color="auto"/>
            </w:tcBorders>
          </w:tcPr>
          <w:p w14:paraId="6B2F6DFA"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r w:rsidRPr="00043534">
              <w:rPr>
                <w:rFonts w:ascii="Arial" w:eastAsia="Times New Roman" w:hAnsi="Arial" w:cs="Arial"/>
                <w:color w:val="auto"/>
                <w:sz w:val="20"/>
                <w:lang w:val="es-ES" w:eastAsia="es-ES"/>
              </w:rPr>
              <w:t>Gastos Generales (%)</w:t>
            </w:r>
          </w:p>
        </w:tc>
        <w:tc>
          <w:tcPr>
            <w:tcW w:w="1134" w:type="dxa"/>
            <w:tcBorders>
              <w:top w:val="single" w:sz="4" w:space="0" w:color="auto"/>
              <w:bottom w:val="single" w:sz="4" w:space="0" w:color="auto"/>
            </w:tcBorders>
          </w:tcPr>
          <w:p w14:paraId="159AF833"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r>
      <w:tr w:rsidR="00453D75" w:rsidRPr="00043534" w14:paraId="314799B6" w14:textId="77777777" w:rsidTr="00390C55">
        <w:trPr>
          <w:trHeight w:val="332"/>
          <w:jc w:val="center"/>
        </w:trPr>
        <w:tc>
          <w:tcPr>
            <w:tcW w:w="704" w:type="dxa"/>
            <w:tcBorders>
              <w:top w:val="nil"/>
              <w:left w:val="nil"/>
              <w:bottom w:val="nil"/>
              <w:right w:val="nil"/>
            </w:tcBorders>
          </w:tcPr>
          <w:p w14:paraId="5E6DE639"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39260521"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029F9676"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1422" w:type="dxa"/>
            <w:tcBorders>
              <w:top w:val="nil"/>
              <w:left w:val="nil"/>
              <w:bottom w:val="nil"/>
              <w:right w:val="single" w:sz="4" w:space="0" w:color="auto"/>
            </w:tcBorders>
          </w:tcPr>
          <w:p w14:paraId="3F5BEDAE"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5244" w:type="dxa"/>
            <w:tcBorders>
              <w:top w:val="single" w:sz="4" w:space="0" w:color="auto"/>
              <w:left w:val="single" w:sz="4" w:space="0" w:color="auto"/>
            </w:tcBorders>
          </w:tcPr>
          <w:p w14:paraId="44BA0A9F"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r w:rsidRPr="00043534">
              <w:rPr>
                <w:rFonts w:ascii="Arial" w:eastAsia="Times New Roman" w:hAnsi="Arial" w:cs="Arial"/>
                <w:color w:val="auto"/>
                <w:sz w:val="20"/>
                <w:lang w:val="es-ES" w:eastAsia="es-ES"/>
              </w:rPr>
              <w:t>Utilidad (%)</w:t>
            </w:r>
          </w:p>
        </w:tc>
        <w:tc>
          <w:tcPr>
            <w:tcW w:w="1134" w:type="dxa"/>
            <w:tcBorders>
              <w:top w:val="single" w:sz="4" w:space="0" w:color="auto"/>
            </w:tcBorders>
          </w:tcPr>
          <w:p w14:paraId="30366183"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r>
      <w:tr w:rsidR="00453D75" w:rsidRPr="00043534" w14:paraId="24A14E09" w14:textId="77777777" w:rsidTr="00390C55">
        <w:trPr>
          <w:jc w:val="center"/>
        </w:trPr>
        <w:tc>
          <w:tcPr>
            <w:tcW w:w="704" w:type="dxa"/>
            <w:tcBorders>
              <w:top w:val="nil"/>
              <w:left w:val="nil"/>
              <w:bottom w:val="nil"/>
              <w:right w:val="nil"/>
            </w:tcBorders>
          </w:tcPr>
          <w:p w14:paraId="22E09AA9"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1D99FA12"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371B529D"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1422" w:type="dxa"/>
            <w:tcBorders>
              <w:top w:val="nil"/>
              <w:left w:val="nil"/>
              <w:bottom w:val="nil"/>
              <w:right w:val="single" w:sz="4" w:space="0" w:color="auto"/>
            </w:tcBorders>
          </w:tcPr>
          <w:p w14:paraId="2E3D3537"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5244" w:type="dxa"/>
            <w:tcBorders>
              <w:top w:val="single" w:sz="4" w:space="0" w:color="auto"/>
              <w:left w:val="single" w:sz="4" w:space="0" w:color="auto"/>
            </w:tcBorders>
            <w:shd w:val="clear" w:color="auto" w:fill="F2F2F2"/>
          </w:tcPr>
          <w:p w14:paraId="7D2F5332" w14:textId="77777777" w:rsidR="00453D75" w:rsidRPr="00043534" w:rsidRDefault="00453D75" w:rsidP="00390C55">
            <w:pPr>
              <w:spacing w:after="120" w:line="240" w:lineRule="auto"/>
              <w:ind w:left="0" w:right="0" w:firstLine="0"/>
              <w:rPr>
                <w:rFonts w:ascii="Arial" w:eastAsia="Times New Roman" w:hAnsi="Arial" w:cs="Arial"/>
                <w:b/>
                <w:color w:val="auto"/>
                <w:sz w:val="20"/>
                <w:lang w:val="es-ES" w:eastAsia="es-ES"/>
              </w:rPr>
            </w:pPr>
            <w:r w:rsidRPr="00043534">
              <w:rPr>
                <w:rFonts w:ascii="Arial" w:eastAsia="Times New Roman" w:hAnsi="Arial" w:cs="Arial"/>
                <w:b/>
                <w:color w:val="auto"/>
                <w:sz w:val="20"/>
                <w:lang w:val="es-ES" w:eastAsia="es-ES"/>
              </w:rPr>
              <w:t>Sub Total S/</w:t>
            </w:r>
          </w:p>
        </w:tc>
        <w:tc>
          <w:tcPr>
            <w:tcW w:w="1134" w:type="dxa"/>
            <w:tcBorders>
              <w:top w:val="single" w:sz="4" w:space="0" w:color="auto"/>
            </w:tcBorders>
          </w:tcPr>
          <w:p w14:paraId="1B97ABAA"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r>
      <w:tr w:rsidR="00453D75" w:rsidRPr="00043534" w14:paraId="652A287B" w14:textId="77777777" w:rsidTr="00390C55">
        <w:trPr>
          <w:jc w:val="center"/>
        </w:trPr>
        <w:tc>
          <w:tcPr>
            <w:tcW w:w="704" w:type="dxa"/>
            <w:tcBorders>
              <w:top w:val="nil"/>
              <w:left w:val="nil"/>
              <w:bottom w:val="nil"/>
              <w:right w:val="nil"/>
            </w:tcBorders>
          </w:tcPr>
          <w:p w14:paraId="5B3B685D"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111FA15D"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057E1DA4"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1422" w:type="dxa"/>
            <w:tcBorders>
              <w:top w:val="nil"/>
              <w:left w:val="nil"/>
              <w:bottom w:val="nil"/>
              <w:right w:val="single" w:sz="4" w:space="0" w:color="auto"/>
            </w:tcBorders>
          </w:tcPr>
          <w:p w14:paraId="5243E08A"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5244" w:type="dxa"/>
            <w:tcBorders>
              <w:top w:val="single" w:sz="4" w:space="0" w:color="auto"/>
              <w:left w:val="single" w:sz="4" w:space="0" w:color="auto"/>
            </w:tcBorders>
          </w:tcPr>
          <w:p w14:paraId="1109DE4F"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r w:rsidRPr="00043534">
              <w:rPr>
                <w:rFonts w:ascii="Arial" w:eastAsia="Times New Roman" w:hAnsi="Arial" w:cs="Arial"/>
                <w:color w:val="auto"/>
                <w:sz w:val="20"/>
                <w:lang w:val="es-ES" w:eastAsia="es-ES"/>
              </w:rPr>
              <w:t>IGV 18%</w:t>
            </w:r>
          </w:p>
        </w:tc>
        <w:tc>
          <w:tcPr>
            <w:tcW w:w="1134" w:type="dxa"/>
            <w:tcBorders>
              <w:top w:val="single" w:sz="4" w:space="0" w:color="auto"/>
            </w:tcBorders>
          </w:tcPr>
          <w:p w14:paraId="42A23DD0"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r>
      <w:tr w:rsidR="00453D75" w:rsidRPr="00043534" w14:paraId="71D2645C" w14:textId="77777777" w:rsidTr="00390C55">
        <w:trPr>
          <w:jc w:val="center"/>
        </w:trPr>
        <w:tc>
          <w:tcPr>
            <w:tcW w:w="704" w:type="dxa"/>
            <w:tcBorders>
              <w:top w:val="nil"/>
              <w:left w:val="nil"/>
              <w:bottom w:val="nil"/>
              <w:right w:val="nil"/>
            </w:tcBorders>
          </w:tcPr>
          <w:p w14:paraId="1D5FE14F"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02535963"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851" w:type="dxa"/>
            <w:tcBorders>
              <w:top w:val="nil"/>
              <w:left w:val="nil"/>
              <w:bottom w:val="nil"/>
              <w:right w:val="nil"/>
            </w:tcBorders>
          </w:tcPr>
          <w:p w14:paraId="5298DB98"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1422" w:type="dxa"/>
            <w:tcBorders>
              <w:top w:val="nil"/>
              <w:left w:val="nil"/>
              <w:bottom w:val="nil"/>
              <w:right w:val="single" w:sz="4" w:space="0" w:color="auto"/>
            </w:tcBorders>
          </w:tcPr>
          <w:p w14:paraId="4D2D2BA4"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c>
          <w:tcPr>
            <w:tcW w:w="5244" w:type="dxa"/>
            <w:tcBorders>
              <w:left w:val="single" w:sz="4" w:space="0" w:color="auto"/>
            </w:tcBorders>
            <w:shd w:val="clear" w:color="auto" w:fill="F2F2F2"/>
          </w:tcPr>
          <w:p w14:paraId="58EFFFC1" w14:textId="77777777" w:rsidR="00453D75" w:rsidRPr="00043534" w:rsidRDefault="00453D75" w:rsidP="00390C55">
            <w:pPr>
              <w:spacing w:after="120" w:line="240" w:lineRule="auto"/>
              <w:ind w:left="0" w:right="0" w:firstLine="0"/>
              <w:rPr>
                <w:rFonts w:ascii="Arial" w:eastAsia="Times New Roman" w:hAnsi="Arial" w:cs="Arial"/>
                <w:b/>
                <w:color w:val="auto"/>
                <w:sz w:val="20"/>
                <w:lang w:val="es-ES" w:eastAsia="es-ES"/>
              </w:rPr>
            </w:pPr>
            <w:r w:rsidRPr="00043534">
              <w:rPr>
                <w:rFonts w:ascii="Arial" w:eastAsia="Times New Roman" w:hAnsi="Arial" w:cs="Arial"/>
                <w:b/>
                <w:color w:val="auto"/>
                <w:sz w:val="20"/>
                <w:lang w:val="es-ES" w:eastAsia="es-ES"/>
              </w:rPr>
              <w:t>Total Inc./IGV (S/)</w:t>
            </w:r>
          </w:p>
        </w:tc>
        <w:tc>
          <w:tcPr>
            <w:tcW w:w="1134" w:type="dxa"/>
          </w:tcPr>
          <w:p w14:paraId="0A336C67" w14:textId="77777777" w:rsidR="00453D75" w:rsidRPr="00043534" w:rsidRDefault="00453D75" w:rsidP="00390C55">
            <w:pPr>
              <w:spacing w:after="120" w:line="240" w:lineRule="auto"/>
              <w:ind w:left="0" w:right="0" w:firstLine="0"/>
              <w:rPr>
                <w:rFonts w:ascii="Arial" w:eastAsia="Times New Roman" w:hAnsi="Arial" w:cs="Arial"/>
                <w:color w:val="auto"/>
                <w:sz w:val="20"/>
                <w:lang w:val="es-ES" w:eastAsia="es-ES"/>
              </w:rPr>
            </w:pPr>
          </w:p>
        </w:tc>
      </w:tr>
    </w:tbl>
    <w:p w14:paraId="2F611F6C" w14:textId="77777777" w:rsidR="00453D75" w:rsidRDefault="00453D75" w:rsidP="00D33C9F">
      <w:pPr>
        <w:spacing w:before="120" w:after="120" w:line="240" w:lineRule="auto"/>
        <w:ind w:left="0" w:right="0" w:firstLine="0"/>
        <w:rPr>
          <w:rFonts w:ascii="Arial" w:eastAsia="Times New Roman" w:hAnsi="Arial" w:cs="Arial"/>
          <w:b/>
          <w:color w:val="auto"/>
          <w:sz w:val="22"/>
          <w:u w:val="single"/>
          <w:lang w:val="es-ES" w:eastAsia="es-ES"/>
        </w:rPr>
      </w:pPr>
    </w:p>
    <w:p w14:paraId="3BFF51C5" w14:textId="77777777" w:rsidR="00453D75" w:rsidRDefault="00453D75" w:rsidP="00453D75">
      <w:pPr>
        <w:spacing w:before="120" w:after="120" w:line="240" w:lineRule="auto"/>
        <w:ind w:left="567" w:right="0" w:firstLine="0"/>
        <w:jc w:val="center"/>
        <w:rPr>
          <w:rFonts w:ascii="Arial" w:eastAsia="Times New Roman" w:hAnsi="Arial" w:cs="Arial"/>
          <w:b/>
          <w:color w:val="auto"/>
          <w:sz w:val="22"/>
          <w:u w:val="single"/>
          <w:lang w:val="es-ES" w:eastAsia="es-ES"/>
        </w:rPr>
      </w:pPr>
    </w:p>
    <w:p w14:paraId="4CF0BCBF" w14:textId="77777777" w:rsidR="00453D75" w:rsidRDefault="00453D75" w:rsidP="00453D75">
      <w:pPr>
        <w:spacing w:before="120" w:after="120" w:line="240" w:lineRule="auto"/>
        <w:ind w:left="567" w:right="0" w:firstLine="0"/>
        <w:jc w:val="center"/>
        <w:rPr>
          <w:rFonts w:ascii="Arial" w:eastAsia="Times New Roman" w:hAnsi="Arial" w:cs="Arial"/>
          <w:b/>
          <w:color w:val="auto"/>
          <w:sz w:val="22"/>
          <w:u w:val="single"/>
          <w:lang w:val="es-ES" w:eastAsia="es-ES"/>
        </w:rPr>
      </w:pPr>
    </w:p>
    <w:p w14:paraId="2707FB75" w14:textId="77777777" w:rsidR="00DD2165" w:rsidRDefault="00DD2165"/>
    <w:sectPr w:rsidR="00DD21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D75"/>
    <w:rsid w:val="00453D75"/>
    <w:rsid w:val="00D33C9F"/>
    <w:rsid w:val="00DD2165"/>
    <w:rsid w:val="00F655D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D5679"/>
  <w15:chartTrackingRefBased/>
  <w15:docId w15:val="{8E2D51D1-23C2-44E4-9FB4-EE2BC2A96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D75"/>
    <w:pPr>
      <w:spacing w:after="43" w:line="221" w:lineRule="auto"/>
      <w:ind w:left="413" w:right="10" w:firstLine="4"/>
      <w:jc w:val="both"/>
    </w:pPr>
    <w:rPr>
      <w:rFonts w:ascii="MS Mincho" w:eastAsia="MS Mincho" w:hAnsi="MS Mincho" w:cs="MS Mincho"/>
      <w:color w:val="000000"/>
      <w:sz w:val="24"/>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453D75"/>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2140</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dc:creator>
  <cp:keywords/>
  <dc:description/>
  <cp:lastModifiedBy>Vania</cp:lastModifiedBy>
  <cp:revision>2</cp:revision>
  <dcterms:created xsi:type="dcterms:W3CDTF">2020-06-18T00:49:00Z</dcterms:created>
  <dcterms:modified xsi:type="dcterms:W3CDTF">2020-06-18T00:49:00Z</dcterms:modified>
</cp:coreProperties>
</file>