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48F532E"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C91ECA" w:rsidRPr="00C91ECA">
        <w:rPr>
          <w:rFonts w:ascii="Arial" w:eastAsiaTheme="minorHAnsi" w:hAnsi="Arial" w:cs="Arial"/>
          <w:b/>
          <w:bCs/>
          <w:sz w:val="20"/>
          <w:szCs w:val="20"/>
        </w:rPr>
        <w:t>1000111488</w:t>
      </w:r>
    </w:p>
    <w:p w14:paraId="104F3C0F" w14:textId="0674908C" w:rsidR="00C30B8A" w:rsidRDefault="00DC3507" w:rsidP="003A44C8">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C91ECA" w:rsidRPr="00C91ECA">
        <w:rPr>
          <w:rFonts w:ascii="Arial" w:eastAsiaTheme="minorHAnsi" w:hAnsi="Arial" w:cs="Arial"/>
          <w:b/>
          <w:bCs/>
          <w:sz w:val="18"/>
          <w:lang w:val="es-ES"/>
        </w:rPr>
        <w:t xml:space="preserve">Servicio de vuelo </w:t>
      </w:r>
      <w:proofErr w:type="spellStart"/>
      <w:r w:rsidR="00C91ECA" w:rsidRPr="00C91ECA">
        <w:rPr>
          <w:rFonts w:ascii="Arial" w:eastAsiaTheme="minorHAnsi" w:hAnsi="Arial" w:cs="Arial"/>
          <w:b/>
          <w:bCs/>
          <w:sz w:val="18"/>
          <w:lang w:val="es-ES"/>
        </w:rPr>
        <w:t>charter</w:t>
      </w:r>
      <w:proofErr w:type="spellEnd"/>
      <w:r w:rsidR="00C91ECA" w:rsidRPr="00C91ECA">
        <w:rPr>
          <w:rFonts w:ascii="Arial" w:eastAsiaTheme="minorHAnsi" w:hAnsi="Arial" w:cs="Arial"/>
          <w:b/>
          <w:bCs/>
          <w:sz w:val="18"/>
          <w:lang w:val="es-ES"/>
        </w:rPr>
        <w:t xml:space="preserve"> para transporte de personal de PETROPERÚ de Iquitos hacia Andoas - Lote 192</w:t>
      </w:r>
    </w:p>
    <w:p w14:paraId="61E44955" w14:textId="7640000F" w:rsidR="00DC3507" w:rsidRPr="001E349A" w:rsidRDefault="00DC3507" w:rsidP="00A52203">
      <w:pPr>
        <w:tabs>
          <w:tab w:val="left" w:pos="1276"/>
        </w:tabs>
        <w:autoSpaceDE w:val="0"/>
        <w:autoSpaceDN w:val="0"/>
        <w:adjustRightInd w:val="0"/>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45AFE4B9" w14:textId="77777777" w:rsidR="00C91ECA" w:rsidRDefault="00C91ECA" w:rsidP="00C91EC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91ECA">
        <w:rPr>
          <w:rFonts w:ascii="Arial" w:eastAsiaTheme="minorHAnsi" w:hAnsi="Arial" w:cs="Arial"/>
          <w:b/>
          <w:bCs/>
          <w:sz w:val="20"/>
          <w:szCs w:val="20"/>
        </w:rPr>
        <w:t>1000111488</w:t>
      </w:r>
    </w:p>
    <w:p w14:paraId="07E6718A" w14:textId="77777777" w:rsidR="00C91ECA" w:rsidRDefault="00C91ECA" w:rsidP="00C91EC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91ECA">
        <w:rPr>
          <w:rFonts w:ascii="Arial" w:eastAsiaTheme="minorHAnsi" w:hAnsi="Arial" w:cs="Arial"/>
          <w:b/>
          <w:bCs/>
          <w:sz w:val="18"/>
          <w:lang w:val="es-ES"/>
        </w:rPr>
        <w:t xml:space="preserve">Servicio de vuelo </w:t>
      </w:r>
      <w:proofErr w:type="spellStart"/>
      <w:r w:rsidRPr="00C91ECA">
        <w:rPr>
          <w:rFonts w:ascii="Arial" w:eastAsiaTheme="minorHAnsi" w:hAnsi="Arial" w:cs="Arial"/>
          <w:b/>
          <w:bCs/>
          <w:sz w:val="18"/>
          <w:lang w:val="es-ES"/>
        </w:rPr>
        <w:t>charter</w:t>
      </w:r>
      <w:proofErr w:type="spellEnd"/>
      <w:r w:rsidRPr="00C91ECA">
        <w:rPr>
          <w:rFonts w:ascii="Arial" w:eastAsiaTheme="minorHAnsi" w:hAnsi="Arial" w:cs="Arial"/>
          <w:b/>
          <w:bCs/>
          <w:sz w:val="18"/>
          <w:lang w:val="es-ES"/>
        </w:rPr>
        <w:t xml:space="preserve"> para transporte de personal de PETROPERÚ de Iquitos hacia Andoas - Lote 192</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F6AC205" w14:textId="77777777" w:rsidR="00C91ECA" w:rsidRDefault="00C91ECA" w:rsidP="00C91EC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91ECA">
        <w:rPr>
          <w:rFonts w:ascii="Arial" w:eastAsiaTheme="minorHAnsi" w:hAnsi="Arial" w:cs="Arial"/>
          <w:b/>
          <w:bCs/>
          <w:sz w:val="20"/>
          <w:szCs w:val="20"/>
        </w:rPr>
        <w:t>1000111488</w:t>
      </w:r>
    </w:p>
    <w:p w14:paraId="0DA1EE32" w14:textId="77777777" w:rsidR="00C91ECA" w:rsidRDefault="00C91ECA" w:rsidP="00C91EC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91ECA">
        <w:rPr>
          <w:rFonts w:ascii="Arial" w:eastAsiaTheme="minorHAnsi" w:hAnsi="Arial" w:cs="Arial"/>
          <w:b/>
          <w:bCs/>
          <w:sz w:val="18"/>
          <w:lang w:val="es-ES"/>
        </w:rPr>
        <w:t xml:space="preserve">Servicio de vuelo </w:t>
      </w:r>
      <w:proofErr w:type="spellStart"/>
      <w:r w:rsidRPr="00C91ECA">
        <w:rPr>
          <w:rFonts w:ascii="Arial" w:eastAsiaTheme="minorHAnsi" w:hAnsi="Arial" w:cs="Arial"/>
          <w:b/>
          <w:bCs/>
          <w:sz w:val="18"/>
          <w:lang w:val="es-ES"/>
        </w:rPr>
        <w:t>charter</w:t>
      </w:r>
      <w:proofErr w:type="spellEnd"/>
      <w:r w:rsidRPr="00C91ECA">
        <w:rPr>
          <w:rFonts w:ascii="Arial" w:eastAsiaTheme="minorHAnsi" w:hAnsi="Arial" w:cs="Arial"/>
          <w:b/>
          <w:bCs/>
          <w:sz w:val="18"/>
          <w:lang w:val="es-ES"/>
        </w:rPr>
        <w:t xml:space="preserve"> para transporte de personal de PETROPERÚ de Iquitos hacia Andoas - Lote 192</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472060C9"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02DDE67"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1F4CDA51" w14:textId="77777777" w:rsidR="00C91ECA" w:rsidRDefault="00C91ECA" w:rsidP="00C91EC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91ECA">
        <w:rPr>
          <w:rFonts w:ascii="Arial" w:eastAsiaTheme="minorHAnsi" w:hAnsi="Arial" w:cs="Arial"/>
          <w:b/>
          <w:bCs/>
          <w:sz w:val="20"/>
          <w:szCs w:val="20"/>
        </w:rPr>
        <w:t>1000111488</w:t>
      </w:r>
    </w:p>
    <w:p w14:paraId="6260266C" w14:textId="77777777" w:rsidR="00C91ECA" w:rsidRDefault="00C91ECA" w:rsidP="00C91EC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91ECA">
        <w:rPr>
          <w:rFonts w:ascii="Arial" w:eastAsiaTheme="minorHAnsi" w:hAnsi="Arial" w:cs="Arial"/>
          <w:b/>
          <w:bCs/>
          <w:sz w:val="18"/>
          <w:lang w:val="es-ES"/>
        </w:rPr>
        <w:t xml:space="preserve">Servicio de vuelo </w:t>
      </w:r>
      <w:proofErr w:type="spellStart"/>
      <w:r w:rsidRPr="00C91ECA">
        <w:rPr>
          <w:rFonts w:ascii="Arial" w:eastAsiaTheme="minorHAnsi" w:hAnsi="Arial" w:cs="Arial"/>
          <w:b/>
          <w:bCs/>
          <w:sz w:val="18"/>
          <w:lang w:val="es-ES"/>
        </w:rPr>
        <w:t>charter</w:t>
      </w:r>
      <w:proofErr w:type="spellEnd"/>
      <w:r w:rsidRPr="00C91ECA">
        <w:rPr>
          <w:rFonts w:ascii="Arial" w:eastAsiaTheme="minorHAnsi" w:hAnsi="Arial" w:cs="Arial"/>
          <w:b/>
          <w:bCs/>
          <w:sz w:val="18"/>
          <w:lang w:val="es-ES"/>
        </w:rPr>
        <w:t xml:space="preserve"> para transporte de personal de PETROPERÚ de Iquitos hacia Andoas - Lote 192</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832D000" w14:textId="77777777" w:rsidR="00C91ECA" w:rsidRDefault="00C91ECA" w:rsidP="00C91EC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91ECA">
        <w:rPr>
          <w:rFonts w:ascii="Arial" w:eastAsiaTheme="minorHAnsi" w:hAnsi="Arial" w:cs="Arial"/>
          <w:b/>
          <w:bCs/>
          <w:sz w:val="20"/>
          <w:szCs w:val="20"/>
        </w:rPr>
        <w:t>1000111488</w:t>
      </w:r>
    </w:p>
    <w:p w14:paraId="706253A9" w14:textId="77777777" w:rsidR="00C91ECA" w:rsidRDefault="00C91ECA" w:rsidP="00C91EC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91ECA">
        <w:rPr>
          <w:rFonts w:ascii="Arial" w:eastAsiaTheme="minorHAnsi" w:hAnsi="Arial" w:cs="Arial"/>
          <w:b/>
          <w:bCs/>
          <w:sz w:val="18"/>
          <w:lang w:val="es-ES"/>
        </w:rPr>
        <w:t xml:space="preserve">Servicio de vuelo </w:t>
      </w:r>
      <w:proofErr w:type="spellStart"/>
      <w:r w:rsidRPr="00C91ECA">
        <w:rPr>
          <w:rFonts w:ascii="Arial" w:eastAsiaTheme="minorHAnsi" w:hAnsi="Arial" w:cs="Arial"/>
          <w:b/>
          <w:bCs/>
          <w:sz w:val="18"/>
          <w:lang w:val="es-ES"/>
        </w:rPr>
        <w:t>charter</w:t>
      </w:r>
      <w:proofErr w:type="spellEnd"/>
      <w:r w:rsidRPr="00C91ECA">
        <w:rPr>
          <w:rFonts w:ascii="Arial" w:eastAsiaTheme="minorHAnsi" w:hAnsi="Arial" w:cs="Arial"/>
          <w:b/>
          <w:bCs/>
          <w:sz w:val="18"/>
          <w:lang w:val="es-ES"/>
        </w:rPr>
        <w:t xml:space="preserve"> para transporte de personal de PETROPERÚ de Iquitos hacia Andoas - Lote 192</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85E9CE9"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C57050E" w14:textId="77777777" w:rsidR="00C91ECA" w:rsidRDefault="00C91ECA" w:rsidP="00C91EC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91ECA">
        <w:rPr>
          <w:rFonts w:ascii="Arial" w:eastAsiaTheme="minorHAnsi" w:hAnsi="Arial" w:cs="Arial"/>
          <w:b/>
          <w:bCs/>
          <w:sz w:val="20"/>
          <w:szCs w:val="20"/>
        </w:rPr>
        <w:t>1000111488</w:t>
      </w:r>
    </w:p>
    <w:p w14:paraId="4169BEAE" w14:textId="77777777" w:rsidR="00C91ECA" w:rsidRDefault="00C91ECA" w:rsidP="00C91EC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91ECA">
        <w:rPr>
          <w:rFonts w:ascii="Arial" w:eastAsiaTheme="minorHAnsi" w:hAnsi="Arial" w:cs="Arial"/>
          <w:b/>
          <w:bCs/>
          <w:sz w:val="18"/>
          <w:lang w:val="es-ES"/>
        </w:rPr>
        <w:t xml:space="preserve">Servicio de vuelo </w:t>
      </w:r>
      <w:proofErr w:type="spellStart"/>
      <w:r w:rsidRPr="00C91ECA">
        <w:rPr>
          <w:rFonts w:ascii="Arial" w:eastAsiaTheme="minorHAnsi" w:hAnsi="Arial" w:cs="Arial"/>
          <w:b/>
          <w:bCs/>
          <w:sz w:val="18"/>
          <w:lang w:val="es-ES"/>
        </w:rPr>
        <w:t>charter</w:t>
      </w:r>
      <w:proofErr w:type="spellEnd"/>
      <w:r w:rsidRPr="00C91ECA">
        <w:rPr>
          <w:rFonts w:ascii="Arial" w:eastAsiaTheme="minorHAnsi" w:hAnsi="Arial" w:cs="Arial"/>
          <w:b/>
          <w:bCs/>
          <w:sz w:val="18"/>
          <w:lang w:val="es-ES"/>
        </w:rPr>
        <w:t xml:space="preserve"> para transporte de personal de PETROPERÚ de Iquitos hacia Andoas - Lote 192</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44DD7C8" w14:textId="77777777" w:rsidR="00C91ECA" w:rsidRDefault="00C91ECA" w:rsidP="00C91EC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91ECA">
        <w:rPr>
          <w:rFonts w:ascii="Arial" w:eastAsiaTheme="minorHAnsi" w:hAnsi="Arial" w:cs="Arial"/>
          <w:b/>
          <w:bCs/>
          <w:sz w:val="20"/>
          <w:szCs w:val="20"/>
        </w:rPr>
        <w:t>1000111488</w:t>
      </w:r>
    </w:p>
    <w:p w14:paraId="595BE34E" w14:textId="77777777" w:rsidR="00C91ECA" w:rsidRDefault="00C91ECA" w:rsidP="00C91EC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91ECA">
        <w:rPr>
          <w:rFonts w:ascii="Arial" w:eastAsiaTheme="minorHAnsi" w:hAnsi="Arial" w:cs="Arial"/>
          <w:b/>
          <w:bCs/>
          <w:sz w:val="18"/>
          <w:lang w:val="es-ES"/>
        </w:rPr>
        <w:t xml:space="preserve">Servicio de vuelo </w:t>
      </w:r>
      <w:proofErr w:type="spellStart"/>
      <w:r w:rsidRPr="00C91ECA">
        <w:rPr>
          <w:rFonts w:ascii="Arial" w:eastAsiaTheme="minorHAnsi" w:hAnsi="Arial" w:cs="Arial"/>
          <w:b/>
          <w:bCs/>
          <w:sz w:val="18"/>
          <w:lang w:val="es-ES"/>
        </w:rPr>
        <w:t>charter</w:t>
      </w:r>
      <w:proofErr w:type="spellEnd"/>
      <w:r w:rsidRPr="00C91ECA">
        <w:rPr>
          <w:rFonts w:ascii="Arial" w:eastAsiaTheme="minorHAnsi" w:hAnsi="Arial" w:cs="Arial"/>
          <w:b/>
          <w:bCs/>
          <w:sz w:val="18"/>
          <w:lang w:val="es-ES"/>
        </w:rPr>
        <w:t xml:space="preserve"> para transporte de personal de PETROPERÚ de Iquitos hacia Andoas - Lote 192</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EDE8C4D" w14:textId="77777777" w:rsidR="00C91ECA" w:rsidRDefault="00C91ECA" w:rsidP="00C91EC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91ECA">
        <w:rPr>
          <w:rFonts w:ascii="Arial" w:eastAsiaTheme="minorHAnsi" w:hAnsi="Arial" w:cs="Arial"/>
          <w:b/>
          <w:bCs/>
          <w:sz w:val="20"/>
          <w:szCs w:val="20"/>
        </w:rPr>
        <w:t>1000111488</w:t>
      </w:r>
    </w:p>
    <w:p w14:paraId="4AB954A4" w14:textId="77777777" w:rsidR="00C91ECA" w:rsidRDefault="00C91ECA" w:rsidP="00C91EC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91ECA">
        <w:rPr>
          <w:rFonts w:ascii="Arial" w:eastAsiaTheme="minorHAnsi" w:hAnsi="Arial" w:cs="Arial"/>
          <w:b/>
          <w:bCs/>
          <w:sz w:val="18"/>
          <w:lang w:val="es-ES"/>
        </w:rPr>
        <w:t xml:space="preserve">Servicio de vuelo </w:t>
      </w:r>
      <w:proofErr w:type="spellStart"/>
      <w:r w:rsidRPr="00C91ECA">
        <w:rPr>
          <w:rFonts w:ascii="Arial" w:eastAsiaTheme="minorHAnsi" w:hAnsi="Arial" w:cs="Arial"/>
          <w:b/>
          <w:bCs/>
          <w:sz w:val="18"/>
          <w:lang w:val="es-ES"/>
        </w:rPr>
        <w:t>charter</w:t>
      </w:r>
      <w:proofErr w:type="spellEnd"/>
      <w:r w:rsidRPr="00C91ECA">
        <w:rPr>
          <w:rFonts w:ascii="Arial" w:eastAsiaTheme="minorHAnsi" w:hAnsi="Arial" w:cs="Arial"/>
          <w:b/>
          <w:bCs/>
          <w:sz w:val="18"/>
          <w:lang w:val="es-ES"/>
        </w:rPr>
        <w:t xml:space="preserve"> para transporte de personal de PETROPERÚ de Iquitos hacia Andoas - Lote 192</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6D3703"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642570A1" w14:textId="77777777" w:rsidR="00C91ECA" w:rsidRDefault="00C91ECA" w:rsidP="00C91EC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91ECA">
        <w:rPr>
          <w:rFonts w:ascii="Arial" w:eastAsiaTheme="minorHAnsi" w:hAnsi="Arial" w:cs="Arial"/>
          <w:b/>
          <w:bCs/>
          <w:sz w:val="20"/>
          <w:szCs w:val="20"/>
        </w:rPr>
        <w:t>1000111488</w:t>
      </w:r>
    </w:p>
    <w:p w14:paraId="0B5ECE5F" w14:textId="77777777" w:rsidR="00C91ECA" w:rsidRDefault="00C91ECA" w:rsidP="00C91ECA">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91ECA">
        <w:rPr>
          <w:rFonts w:ascii="Arial" w:eastAsiaTheme="minorHAnsi" w:hAnsi="Arial" w:cs="Arial"/>
          <w:b/>
          <w:bCs/>
          <w:sz w:val="18"/>
          <w:lang w:val="es-ES"/>
        </w:rPr>
        <w:t xml:space="preserve">Servicio de vuelo </w:t>
      </w:r>
      <w:proofErr w:type="spellStart"/>
      <w:r w:rsidRPr="00C91ECA">
        <w:rPr>
          <w:rFonts w:ascii="Arial" w:eastAsiaTheme="minorHAnsi" w:hAnsi="Arial" w:cs="Arial"/>
          <w:b/>
          <w:bCs/>
          <w:sz w:val="18"/>
          <w:lang w:val="es-ES"/>
        </w:rPr>
        <w:t>charter</w:t>
      </w:r>
      <w:proofErr w:type="spellEnd"/>
      <w:r w:rsidRPr="00C91ECA">
        <w:rPr>
          <w:rFonts w:ascii="Arial" w:eastAsiaTheme="minorHAnsi" w:hAnsi="Arial" w:cs="Arial"/>
          <w:b/>
          <w:bCs/>
          <w:sz w:val="18"/>
          <w:lang w:val="es-ES"/>
        </w:rPr>
        <w:t xml:space="preserve"> para transporte de personal de PETROPERÚ de Iquitos hacia Andoas - Lote 192</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56268" w14:textId="77777777" w:rsidR="00AB0837" w:rsidRDefault="00AB0837" w:rsidP="00DC3507">
      <w:pPr>
        <w:spacing w:after="0" w:line="240" w:lineRule="auto"/>
      </w:pPr>
      <w:r>
        <w:separator/>
      </w:r>
    </w:p>
  </w:endnote>
  <w:endnote w:type="continuationSeparator" w:id="0">
    <w:p w14:paraId="47C6C353" w14:textId="77777777" w:rsidR="00AB0837" w:rsidRDefault="00AB083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4CF5B" w14:textId="77777777" w:rsidR="00AB0837" w:rsidRDefault="00AB0837" w:rsidP="00DC3507">
      <w:pPr>
        <w:spacing w:after="0" w:line="240" w:lineRule="auto"/>
      </w:pPr>
      <w:r>
        <w:separator/>
      </w:r>
    </w:p>
  </w:footnote>
  <w:footnote w:type="continuationSeparator" w:id="0">
    <w:p w14:paraId="5C5A6D5A" w14:textId="77777777" w:rsidR="00AB0837" w:rsidRDefault="00AB083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67962"/>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E349A"/>
    <w:rsid w:val="001F5C82"/>
    <w:rsid w:val="00201E47"/>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94A96"/>
    <w:rsid w:val="003A44C8"/>
    <w:rsid w:val="003B2260"/>
    <w:rsid w:val="003B301A"/>
    <w:rsid w:val="003B41AF"/>
    <w:rsid w:val="003C6305"/>
    <w:rsid w:val="003E31AD"/>
    <w:rsid w:val="003F64F9"/>
    <w:rsid w:val="003F6501"/>
    <w:rsid w:val="00411CDC"/>
    <w:rsid w:val="004417BE"/>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93033"/>
    <w:rsid w:val="008026D6"/>
    <w:rsid w:val="00817203"/>
    <w:rsid w:val="00846E28"/>
    <w:rsid w:val="00850C2F"/>
    <w:rsid w:val="00853824"/>
    <w:rsid w:val="00856782"/>
    <w:rsid w:val="00857EFE"/>
    <w:rsid w:val="008733C2"/>
    <w:rsid w:val="008802F4"/>
    <w:rsid w:val="00881A13"/>
    <w:rsid w:val="008A49E7"/>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735E"/>
    <w:rsid w:val="00A94A4B"/>
    <w:rsid w:val="00AA26E1"/>
    <w:rsid w:val="00AA75EB"/>
    <w:rsid w:val="00AB0837"/>
    <w:rsid w:val="00AB6078"/>
    <w:rsid w:val="00AC19A6"/>
    <w:rsid w:val="00AC74E0"/>
    <w:rsid w:val="00AD7EE7"/>
    <w:rsid w:val="00AF6AB6"/>
    <w:rsid w:val="00AF7E59"/>
    <w:rsid w:val="00B02F88"/>
    <w:rsid w:val="00B15459"/>
    <w:rsid w:val="00B41EB7"/>
    <w:rsid w:val="00B5050A"/>
    <w:rsid w:val="00B66919"/>
    <w:rsid w:val="00B67560"/>
    <w:rsid w:val="00B727FB"/>
    <w:rsid w:val="00B82186"/>
    <w:rsid w:val="00B941B4"/>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7217"/>
    <w:rsid w:val="00F20FA5"/>
    <w:rsid w:val="00F32344"/>
    <w:rsid w:val="00F44E4F"/>
    <w:rsid w:val="00F54617"/>
    <w:rsid w:val="00F639C0"/>
    <w:rsid w:val="00F70FF5"/>
    <w:rsid w:val="00F74FD4"/>
    <w:rsid w:val="00F8483A"/>
    <w:rsid w:val="00F86B22"/>
    <w:rsid w:val="00F940BA"/>
    <w:rsid w:val="00F96FB3"/>
    <w:rsid w:val="00FB36A2"/>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6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4712</Words>
  <Characters>25917</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cp:revision>
  <dcterms:created xsi:type="dcterms:W3CDTF">2021-12-15T13:35:00Z</dcterms:created>
  <dcterms:modified xsi:type="dcterms:W3CDTF">2021-12-15T13:35:00Z</dcterms:modified>
</cp:coreProperties>
</file>